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40C" w:rsidRPr="006227EE" w:rsidRDefault="00A51C12" w:rsidP="00491310">
      <w:pPr>
        <w:autoSpaceDE/>
        <w:autoSpaceDN/>
        <w:adjustRightInd w:val="0"/>
        <w:snapToGrid w:val="0"/>
        <w:spacing w:line="348" w:lineRule="auto"/>
        <w:jc w:val="both"/>
        <w:rPr>
          <w:rFonts w:ascii="黑体" w:eastAsia="黑体"/>
          <w:color w:val="000000" w:themeColor="text1"/>
          <w:sz w:val="28"/>
          <w:szCs w:val="28"/>
          <w:lang w:val="en-US"/>
        </w:rPr>
      </w:pPr>
      <w:r w:rsidRPr="006227EE">
        <w:rPr>
          <w:rFonts w:ascii="黑体" w:eastAsia="黑体" w:hint="eastAsia"/>
          <w:color w:val="000000" w:themeColor="text1"/>
          <w:sz w:val="28"/>
        </w:rPr>
        <w:t>证券代码：</w:t>
      </w:r>
      <w:r w:rsidRPr="006227EE">
        <w:rPr>
          <w:rFonts w:ascii="黑体" w:eastAsia="黑体"/>
          <w:color w:val="000000" w:themeColor="text1"/>
          <w:sz w:val="28"/>
        </w:rPr>
        <w:t>600237</w:t>
      </w:r>
      <w:r w:rsidRPr="006227EE">
        <w:rPr>
          <w:rFonts w:ascii="黑体" w:eastAsia="黑体" w:hint="eastAsia"/>
          <w:color w:val="000000" w:themeColor="text1"/>
          <w:sz w:val="28"/>
          <w:lang w:val="en-US"/>
        </w:rPr>
        <w:t xml:space="preserve">  </w:t>
      </w:r>
      <w:r w:rsidRPr="006227EE">
        <w:rPr>
          <w:rFonts w:ascii="黑体" w:eastAsia="黑体" w:hint="eastAsia"/>
          <w:color w:val="000000" w:themeColor="text1"/>
          <w:sz w:val="28"/>
        </w:rPr>
        <w:t>证券简称：铜峰电子</w:t>
      </w:r>
      <w:r w:rsidRPr="006227EE">
        <w:rPr>
          <w:rFonts w:ascii="黑体" w:eastAsia="黑体" w:hint="eastAsia"/>
          <w:color w:val="000000" w:themeColor="text1"/>
          <w:sz w:val="28"/>
          <w:lang w:val="en-US"/>
        </w:rPr>
        <w:t xml:space="preserve">  </w:t>
      </w:r>
      <w:r w:rsidRPr="006227EE">
        <w:rPr>
          <w:rFonts w:ascii="黑体" w:eastAsia="黑体" w:hint="eastAsia"/>
          <w:color w:val="000000" w:themeColor="text1"/>
          <w:sz w:val="28"/>
        </w:rPr>
        <w:t>公告编号：临202</w:t>
      </w:r>
      <w:r w:rsidRPr="006227EE">
        <w:rPr>
          <w:rFonts w:ascii="黑体" w:eastAsia="黑体" w:hint="eastAsia"/>
          <w:color w:val="000000" w:themeColor="text1"/>
          <w:sz w:val="28"/>
          <w:lang w:val="en-US"/>
        </w:rPr>
        <w:t>4</w:t>
      </w:r>
      <w:r w:rsidRPr="006227EE">
        <w:rPr>
          <w:rFonts w:ascii="黑体" w:eastAsia="黑体" w:hint="eastAsia"/>
          <w:color w:val="000000" w:themeColor="text1"/>
          <w:sz w:val="28"/>
        </w:rPr>
        <w:t>-</w:t>
      </w:r>
      <w:r w:rsidRPr="006227EE">
        <w:rPr>
          <w:rFonts w:ascii="黑体" w:eastAsia="黑体"/>
          <w:color w:val="000000" w:themeColor="text1"/>
          <w:sz w:val="28"/>
        </w:rPr>
        <w:t>0</w:t>
      </w:r>
      <w:r w:rsidRPr="006227EE">
        <w:rPr>
          <w:rFonts w:ascii="黑体" w:eastAsia="黑体" w:hint="eastAsia"/>
          <w:color w:val="000000" w:themeColor="text1"/>
          <w:sz w:val="28"/>
          <w:lang w:val="en-US"/>
        </w:rPr>
        <w:t>07</w:t>
      </w:r>
    </w:p>
    <w:p w:rsidR="00BE740C" w:rsidRDefault="00BE740C" w:rsidP="00491310">
      <w:pPr>
        <w:pStyle w:val="a5"/>
        <w:spacing w:line="348" w:lineRule="auto"/>
      </w:pPr>
    </w:p>
    <w:p w:rsidR="00BE740C" w:rsidRDefault="00A51C12" w:rsidP="00491310">
      <w:pPr>
        <w:autoSpaceDE/>
        <w:autoSpaceDN/>
        <w:adjustRightInd w:val="0"/>
        <w:snapToGrid w:val="0"/>
        <w:spacing w:line="348" w:lineRule="auto"/>
        <w:jc w:val="center"/>
        <w:rPr>
          <w:rFonts w:ascii="黑体" w:eastAsia="黑体" w:hAnsi="Times New Roman" w:cs="Times New Roman"/>
          <w:color w:val="FF0000"/>
          <w:kern w:val="2"/>
          <w:sz w:val="36"/>
          <w:szCs w:val="36"/>
          <w:lang w:val="en-US" w:bidi="ar-SA"/>
        </w:rPr>
      </w:pPr>
      <w:r>
        <w:rPr>
          <w:rFonts w:ascii="黑体" w:eastAsia="黑体" w:hAnsi="Times New Roman" w:cs="Times New Roman" w:hint="eastAsia"/>
          <w:color w:val="FF0000"/>
          <w:kern w:val="2"/>
          <w:sz w:val="36"/>
          <w:szCs w:val="36"/>
          <w:lang w:val="en-US" w:bidi="ar-SA"/>
        </w:rPr>
        <w:t>安徽铜峰电子股份有限公司关于使用部分闲置募集资金进行现金管理及追认使用部分闲置募集资金进行现金管理的公告</w:t>
      </w:r>
    </w:p>
    <w:p w:rsidR="00BE740C" w:rsidRDefault="00BE740C" w:rsidP="00491310">
      <w:pPr>
        <w:autoSpaceDE/>
        <w:autoSpaceDN/>
        <w:adjustRightInd w:val="0"/>
        <w:snapToGrid w:val="0"/>
        <w:spacing w:line="348" w:lineRule="auto"/>
        <w:ind w:firstLineChars="200" w:firstLine="720"/>
        <w:jc w:val="center"/>
        <w:rPr>
          <w:rFonts w:ascii="黑体" w:eastAsia="黑体" w:hAnsi="Times New Roman" w:cs="Times New Roman"/>
          <w:color w:val="FF0000"/>
          <w:kern w:val="2"/>
          <w:sz w:val="36"/>
          <w:szCs w:val="36"/>
          <w:lang w:val="en-US" w:bidi="ar-SA"/>
        </w:rPr>
      </w:pPr>
    </w:p>
    <w:p w:rsidR="00BE740C" w:rsidRDefault="00A51C12" w:rsidP="00491310">
      <w:pPr>
        <w:autoSpaceDE/>
        <w:autoSpaceDN/>
        <w:adjustRightInd w:val="0"/>
        <w:snapToGrid w:val="0"/>
        <w:spacing w:line="348" w:lineRule="auto"/>
        <w:ind w:firstLineChars="200" w:firstLine="482"/>
        <w:rPr>
          <w:b/>
          <w:sz w:val="24"/>
          <w:szCs w:val="20"/>
        </w:rPr>
      </w:pPr>
      <w:r>
        <w:rPr>
          <w:rFonts w:hint="eastAsia"/>
          <w:b/>
          <w:sz w:val="24"/>
          <w:szCs w:val="20"/>
        </w:rPr>
        <w:t>本公司董事会及全体董事保证本公告内容不存在任何虚假记载、误导性陈述或者重大遗漏，并对其内容的真实性、准确性和完整性承担法律责任。</w:t>
      </w:r>
    </w:p>
    <w:p w:rsidR="00BE740C" w:rsidRDefault="00BE740C" w:rsidP="00491310">
      <w:pPr>
        <w:adjustRightInd w:val="0"/>
        <w:snapToGrid w:val="0"/>
        <w:spacing w:line="348" w:lineRule="auto"/>
        <w:ind w:firstLineChars="200" w:firstLine="602"/>
        <w:rPr>
          <w:rFonts w:ascii="仿宋_GB2312" w:eastAsia="仿宋_GB2312"/>
          <w:b/>
          <w:sz w:val="30"/>
          <w:szCs w:val="30"/>
        </w:rPr>
      </w:pPr>
    </w:p>
    <w:p w:rsidR="00BE740C" w:rsidRDefault="00A51C12" w:rsidP="00491310">
      <w:pPr>
        <w:adjustRightInd w:val="0"/>
        <w:snapToGrid w:val="0"/>
        <w:spacing w:line="348" w:lineRule="auto"/>
        <w:ind w:firstLineChars="200" w:firstLine="482"/>
        <w:rPr>
          <w:b/>
          <w:sz w:val="24"/>
          <w:szCs w:val="24"/>
        </w:rPr>
      </w:pPr>
      <w:r>
        <w:rPr>
          <w:rFonts w:hint="eastAsia"/>
          <w:b/>
          <w:sz w:val="24"/>
          <w:szCs w:val="24"/>
        </w:rPr>
        <w:t>重要内容提示：</w:t>
      </w:r>
    </w:p>
    <w:p w:rsidR="00BE740C" w:rsidRDefault="00A51C12" w:rsidP="00491310">
      <w:pPr>
        <w:numPr>
          <w:ilvl w:val="0"/>
          <w:numId w:val="1"/>
        </w:numPr>
        <w:adjustRightInd w:val="0"/>
        <w:snapToGrid w:val="0"/>
        <w:spacing w:line="348" w:lineRule="auto"/>
        <w:ind w:left="1020"/>
        <w:rPr>
          <w:bCs/>
          <w:sz w:val="24"/>
          <w:szCs w:val="24"/>
        </w:rPr>
      </w:pPr>
      <w:r>
        <w:rPr>
          <w:rFonts w:hint="eastAsia"/>
          <w:b/>
          <w:sz w:val="24"/>
          <w:szCs w:val="24"/>
        </w:rPr>
        <w:t>投资种类</w:t>
      </w:r>
      <w:r>
        <w:rPr>
          <w:rFonts w:hint="eastAsia"/>
          <w:bCs/>
          <w:sz w:val="24"/>
          <w:szCs w:val="24"/>
        </w:rPr>
        <w:t>：</w:t>
      </w:r>
      <w:r>
        <w:rPr>
          <w:rFonts w:hint="eastAsia"/>
          <w:sz w:val="24"/>
          <w:szCs w:val="24"/>
          <w:lang w:val="en-US"/>
        </w:rPr>
        <w:t>协定性存款、结构性存款、定期存款、通知存款、大额存单等</w:t>
      </w:r>
    </w:p>
    <w:p w:rsidR="00BE740C" w:rsidRDefault="00A51C12" w:rsidP="00491310">
      <w:pPr>
        <w:numPr>
          <w:ilvl w:val="0"/>
          <w:numId w:val="1"/>
        </w:numPr>
        <w:adjustRightInd w:val="0"/>
        <w:snapToGrid w:val="0"/>
        <w:spacing w:line="348" w:lineRule="auto"/>
        <w:ind w:left="1020"/>
        <w:rPr>
          <w:bCs/>
          <w:sz w:val="24"/>
          <w:szCs w:val="24"/>
        </w:rPr>
      </w:pPr>
      <w:r>
        <w:rPr>
          <w:rFonts w:hint="eastAsia"/>
          <w:b/>
          <w:sz w:val="24"/>
          <w:szCs w:val="24"/>
        </w:rPr>
        <w:t>投资金额</w:t>
      </w:r>
      <w:r>
        <w:rPr>
          <w:rFonts w:hint="eastAsia"/>
          <w:bCs/>
          <w:sz w:val="24"/>
          <w:szCs w:val="24"/>
        </w:rPr>
        <w:t>：不超过</w:t>
      </w:r>
      <w:r>
        <w:rPr>
          <w:rFonts w:hint="eastAsia"/>
          <w:bCs/>
          <w:sz w:val="24"/>
          <w:szCs w:val="24"/>
          <w:lang w:val="en-US"/>
        </w:rPr>
        <w:t>1亿元（含1亿元）</w:t>
      </w:r>
    </w:p>
    <w:p w:rsidR="00BE740C" w:rsidRDefault="00A51C12" w:rsidP="00491310">
      <w:pPr>
        <w:pStyle w:val="af"/>
        <w:numPr>
          <w:ilvl w:val="0"/>
          <w:numId w:val="2"/>
        </w:numPr>
        <w:adjustRightInd w:val="0"/>
        <w:snapToGrid w:val="0"/>
        <w:spacing w:line="348" w:lineRule="auto"/>
        <w:rPr>
          <w:sz w:val="24"/>
          <w:szCs w:val="24"/>
        </w:rPr>
      </w:pPr>
      <w:r>
        <w:rPr>
          <w:rFonts w:hint="eastAsia"/>
          <w:b/>
          <w:sz w:val="24"/>
          <w:szCs w:val="24"/>
        </w:rPr>
        <w:t>已履行及</w:t>
      </w:r>
      <w:proofErr w:type="gramStart"/>
      <w:r>
        <w:rPr>
          <w:rFonts w:hint="eastAsia"/>
          <w:b/>
          <w:sz w:val="24"/>
          <w:szCs w:val="24"/>
        </w:rPr>
        <w:t>拟履行</w:t>
      </w:r>
      <w:proofErr w:type="gramEnd"/>
      <w:r>
        <w:rPr>
          <w:rFonts w:hint="eastAsia"/>
          <w:b/>
          <w:sz w:val="24"/>
          <w:szCs w:val="24"/>
        </w:rPr>
        <w:t>的审议程序</w:t>
      </w:r>
      <w:r>
        <w:rPr>
          <w:rFonts w:hint="eastAsia"/>
          <w:bCs/>
          <w:sz w:val="24"/>
          <w:szCs w:val="24"/>
        </w:rPr>
        <w:t>：经公司第十届董事会第二次会议、第十届监事会第二次会议审议批准。</w:t>
      </w:r>
    </w:p>
    <w:p w:rsidR="00BE740C" w:rsidRDefault="00A51C12" w:rsidP="00491310">
      <w:pPr>
        <w:pStyle w:val="af"/>
        <w:numPr>
          <w:ilvl w:val="0"/>
          <w:numId w:val="2"/>
        </w:numPr>
        <w:adjustRightInd w:val="0"/>
        <w:snapToGrid w:val="0"/>
        <w:spacing w:line="348" w:lineRule="auto"/>
        <w:rPr>
          <w:sz w:val="24"/>
          <w:szCs w:val="24"/>
        </w:rPr>
      </w:pPr>
      <w:r>
        <w:rPr>
          <w:rFonts w:hint="eastAsia"/>
          <w:b/>
          <w:sz w:val="24"/>
          <w:szCs w:val="24"/>
        </w:rPr>
        <w:t>特别风险提示</w:t>
      </w:r>
      <w:r>
        <w:rPr>
          <w:rFonts w:hint="eastAsia"/>
          <w:bCs/>
          <w:sz w:val="24"/>
          <w:szCs w:val="24"/>
        </w:rPr>
        <w:t>：</w:t>
      </w:r>
      <w:r>
        <w:rPr>
          <w:rFonts w:cs="Times New Roman" w:hint="eastAsia"/>
          <w:sz w:val="24"/>
          <w:szCs w:val="20"/>
          <w:lang w:val="en-US"/>
        </w:rPr>
        <w:t>公司拟投资安全性高、流动性好的投资产品，投资风险可控。但金融市场受宏观经济影响较大，不排除该项投资受到市场波动的影响，存在一定的系统性风险。公司将根据经济形势以及金融市场的变化适时适量介入，严格遵守审慎投资原则筛选投资对象，选择信誉好、规模大、有能力保障资金安全的发行主体所发行的产品。</w:t>
      </w:r>
    </w:p>
    <w:p w:rsidR="00BE740C" w:rsidRDefault="00BE740C" w:rsidP="00491310">
      <w:pPr>
        <w:pStyle w:val="a5"/>
        <w:numPr>
          <w:ilvl w:val="255"/>
          <w:numId w:val="0"/>
        </w:numPr>
        <w:spacing w:line="348" w:lineRule="auto"/>
      </w:pPr>
    </w:p>
    <w:p w:rsidR="00BE740C" w:rsidRDefault="00A51C12" w:rsidP="00491310">
      <w:pPr>
        <w:numPr>
          <w:ilvl w:val="255"/>
          <w:numId w:val="0"/>
        </w:numPr>
        <w:adjustRightInd w:val="0"/>
        <w:snapToGrid w:val="0"/>
        <w:spacing w:line="348" w:lineRule="auto"/>
        <w:ind w:firstLineChars="200" w:firstLine="480"/>
        <w:rPr>
          <w:rFonts w:ascii="黑体" w:eastAsia="黑体" w:hAnsi="黑体"/>
          <w:sz w:val="24"/>
        </w:rPr>
      </w:pPr>
      <w:r>
        <w:rPr>
          <w:rFonts w:ascii="黑体" w:eastAsia="黑体" w:hAnsi="黑体" w:hint="eastAsia"/>
          <w:sz w:val="24"/>
        </w:rPr>
        <w:t>一、投资情况概述</w:t>
      </w:r>
    </w:p>
    <w:p w:rsidR="00BE740C" w:rsidRDefault="00A51C12" w:rsidP="00491310">
      <w:pPr>
        <w:adjustRightInd w:val="0"/>
        <w:snapToGrid w:val="0"/>
        <w:spacing w:line="348" w:lineRule="auto"/>
        <w:ind w:firstLineChars="200" w:firstLine="482"/>
        <w:jc w:val="both"/>
        <w:rPr>
          <w:rFonts w:cs="Times New Roman"/>
          <w:b/>
          <w:bCs/>
          <w:sz w:val="24"/>
          <w:szCs w:val="20"/>
        </w:rPr>
      </w:pPr>
      <w:r>
        <w:rPr>
          <w:rFonts w:cs="Times New Roman" w:hint="eastAsia"/>
          <w:b/>
          <w:bCs/>
          <w:sz w:val="24"/>
          <w:szCs w:val="20"/>
          <w:lang w:val="en-US"/>
        </w:rPr>
        <w:t xml:space="preserve">（一）投资目的 </w:t>
      </w:r>
    </w:p>
    <w:p w:rsidR="00BE740C" w:rsidRDefault="00A51C12" w:rsidP="00491310">
      <w:pPr>
        <w:adjustRightInd w:val="0"/>
        <w:snapToGrid w:val="0"/>
        <w:spacing w:line="348" w:lineRule="auto"/>
        <w:ind w:firstLineChars="200" w:firstLine="480"/>
        <w:jc w:val="both"/>
        <w:rPr>
          <w:rFonts w:cs="Times New Roman"/>
          <w:sz w:val="24"/>
          <w:szCs w:val="20"/>
          <w:lang w:val="en-US"/>
        </w:rPr>
      </w:pPr>
      <w:r>
        <w:rPr>
          <w:rFonts w:cs="Times New Roman" w:hint="eastAsia"/>
          <w:sz w:val="24"/>
          <w:szCs w:val="20"/>
          <w:lang w:val="en-US"/>
        </w:rPr>
        <w:t>为提高募集资金使用效率，合理利用部分闲置募集资金，在确保不影响募集集资金项目建设和使用、募集资金安全的情况下，增加公司的收益，为公司及股东获取更多回报，公司拟使用部分闲置募集资金投资安全性高、流动性好的投资产品（包括但不限于协定性存款、结构性存款、定期存款、通知存款、大额存单等）。</w:t>
      </w:r>
    </w:p>
    <w:p w:rsidR="00BE740C" w:rsidRDefault="00A51C12" w:rsidP="00491310">
      <w:pPr>
        <w:adjustRightInd w:val="0"/>
        <w:snapToGrid w:val="0"/>
        <w:spacing w:line="348" w:lineRule="auto"/>
        <w:ind w:firstLineChars="200" w:firstLine="482"/>
        <w:jc w:val="both"/>
        <w:rPr>
          <w:rFonts w:cs="Times New Roman"/>
          <w:b/>
          <w:bCs/>
          <w:sz w:val="24"/>
          <w:szCs w:val="20"/>
          <w:lang w:val="en-US"/>
        </w:rPr>
      </w:pPr>
      <w:r>
        <w:rPr>
          <w:rFonts w:cs="Times New Roman" w:hint="eastAsia"/>
          <w:b/>
          <w:bCs/>
          <w:sz w:val="24"/>
          <w:szCs w:val="20"/>
          <w:lang w:val="en-US"/>
        </w:rPr>
        <w:lastRenderedPageBreak/>
        <w:t>（二）投资金额</w:t>
      </w:r>
    </w:p>
    <w:p w:rsidR="00BE740C" w:rsidRDefault="00A51C12" w:rsidP="00491310">
      <w:pPr>
        <w:adjustRightInd w:val="0"/>
        <w:snapToGrid w:val="0"/>
        <w:spacing w:line="348" w:lineRule="auto"/>
        <w:ind w:firstLineChars="200" w:firstLine="480"/>
        <w:jc w:val="both"/>
        <w:rPr>
          <w:rFonts w:cs="Times New Roman"/>
          <w:sz w:val="24"/>
          <w:szCs w:val="20"/>
          <w:lang w:val="en-US"/>
        </w:rPr>
      </w:pPr>
      <w:r>
        <w:rPr>
          <w:rFonts w:cs="Times New Roman" w:hint="eastAsia"/>
          <w:sz w:val="24"/>
          <w:szCs w:val="20"/>
          <w:lang w:val="en-US"/>
        </w:rPr>
        <w:t>公司计划使用最高余额不超过人民币1亿元（含1亿元）的部分闲置募集资金进行现金管理，在上述额度内，资金可以滚动使用，使用期限自董事会审议通过之日起</w:t>
      </w:r>
      <w:r>
        <w:rPr>
          <w:rFonts w:cs="Times New Roman"/>
          <w:sz w:val="24"/>
          <w:szCs w:val="20"/>
          <w:lang w:val="en-US"/>
        </w:rPr>
        <w:t>12</w:t>
      </w:r>
      <w:r>
        <w:rPr>
          <w:rFonts w:cs="Times New Roman" w:hint="eastAsia"/>
          <w:sz w:val="24"/>
          <w:szCs w:val="20"/>
          <w:lang w:val="en-US"/>
        </w:rPr>
        <w:t>个月内有效。</w:t>
      </w:r>
    </w:p>
    <w:p w:rsidR="00BE740C" w:rsidRDefault="00A51C12" w:rsidP="00491310">
      <w:pPr>
        <w:numPr>
          <w:ilvl w:val="0"/>
          <w:numId w:val="3"/>
        </w:numPr>
        <w:adjustRightInd w:val="0"/>
        <w:snapToGrid w:val="0"/>
        <w:spacing w:line="348" w:lineRule="auto"/>
        <w:ind w:firstLineChars="200" w:firstLine="482"/>
        <w:jc w:val="both"/>
        <w:rPr>
          <w:rFonts w:cs="Times New Roman"/>
          <w:b/>
          <w:bCs/>
          <w:sz w:val="24"/>
          <w:szCs w:val="20"/>
          <w:lang w:val="en-US"/>
        </w:rPr>
      </w:pPr>
      <w:r>
        <w:rPr>
          <w:rFonts w:cs="Times New Roman" w:hint="eastAsia"/>
          <w:b/>
          <w:bCs/>
          <w:sz w:val="24"/>
          <w:szCs w:val="20"/>
          <w:lang w:val="en-US"/>
        </w:rPr>
        <w:t>资金来源</w:t>
      </w:r>
    </w:p>
    <w:p w:rsidR="00BE740C" w:rsidRDefault="00A51C12" w:rsidP="00491310">
      <w:pPr>
        <w:numPr>
          <w:ilvl w:val="255"/>
          <w:numId w:val="0"/>
        </w:numPr>
        <w:autoSpaceDE/>
        <w:autoSpaceDN/>
        <w:adjustRightInd w:val="0"/>
        <w:snapToGrid w:val="0"/>
        <w:spacing w:line="348" w:lineRule="auto"/>
        <w:ind w:firstLineChars="200" w:firstLine="480"/>
        <w:jc w:val="both"/>
        <w:rPr>
          <w:rFonts w:cs="Times New Roman"/>
          <w:sz w:val="24"/>
          <w:szCs w:val="20"/>
          <w:lang w:val="en-US"/>
        </w:rPr>
      </w:pPr>
      <w:r>
        <w:rPr>
          <w:rFonts w:cs="Times New Roman" w:hint="eastAsia"/>
          <w:sz w:val="24"/>
          <w:szCs w:val="20"/>
          <w:lang w:val="en-US"/>
        </w:rPr>
        <w:t>2023年8月，</w:t>
      </w:r>
      <w:r>
        <w:rPr>
          <w:rFonts w:cs="Times New Roman" w:hint="eastAsia"/>
          <w:sz w:val="24"/>
          <w:szCs w:val="20"/>
        </w:rPr>
        <w:t>经</w:t>
      </w:r>
      <w:r>
        <w:rPr>
          <w:rFonts w:cs="Times New Roman"/>
          <w:sz w:val="24"/>
          <w:szCs w:val="20"/>
        </w:rPr>
        <w:t>中国</w:t>
      </w:r>
      <w:r>
        <w:rPr>
          <w:rFonts w:cs="Times New Roman" w:hint="eastAsia"/>
          <w:sz w:val="24"/>
          <w:szCs w:val="20"/>
        </w:rPr>
        <w:t>证券监督管理委员会核准，公司采用向特定对象发行股票方式</w:t>
      </w:r>
      <w:r>
        <w:rPr>
          <w:rFonts w:cs="Times New Roman"/>
          <w:sz w:val="24"/>
          <w:szCs w:val="20"/>
        </w:rPr>
        <w:t>发行人民币普通股</w:t>
      </w:r>
      <w:r>
        <w:rPr>
          <w:rFonts w:cs="Times New Roman" w:hint="eastAsia"/>
          <w:sz w:val="24"/>
          <w:szCs w:val="20"/>
        </w:rPr>
        <w:t>57,306,590股</w:t>
      </w:r>
      <w:r>
        <w:rPr>
          <w:rFonts w:cs="Times New Roman"/>
          <w:sz w:val="24"/>
          <w:szCs w:val="20"/>
        </w:rPr>
        <w:t>，</w:t>
      </w:r>
      <w:r>
        <w:rPr>
          <w:rFonts w:cs="Times New Roman" w:hint="eastAsia"/>
          <w:sz w:val="24"/>
          <w:szCs w:val="20"/>
        </w:rPr>
        <w:t>扣除不含税的发行费用后，实际募集资金净额为人民币</w:t>
      </w:r>
      <w:r>
        <w:rPr>
          <w:rFonts w:cs="Times New Roman"/>
          <w:sz w:val="24"/>
          <w:szCs w:val="20"/>
        </w:rPr>
        <w:t>397,337,142.30</w:t>
      </w:r>
      <w:r>
        <w:rPr>
          <w:rFonts w:cs="Times New Roman" w:hint="eastAsia"/>
          <w:sz w:val="24"/>
          <w:szCs w:val="20"/>
        </w:rPr>
        <w:t>元。以上募集资金到账后，</w:t>
      </w:r>
      <w:r>
        <w:rPr>
          <w:rFonts w:hint="eastAsia"/>
          <w:kern w:val="2"/>
          <w:sz w:val="24"/>
          <w:szCs w:val="24"/>
          <w:lang w:val="en-US" w:bidi="ar-SA"/>
        </w:rPr>
        <w:t>均存放于公司开设的募集资金专项账户进行管理。</w:t>
      </w:r>
      <w:r>
        <w:rPr>
          <w:rFonts w:cs="Times New Roman" w:hint="eastAsia"/>
          <w:sz w:val="24"/>
          <w:szCs w:val="20"/>
        </w:rPr>
        <w:t>根据募集资金投资项目建设进度，</w:t>
      </w:r>
      <w:r>
        <w:rPr>
          <w:rFonts w:cs="Times New Roman" w:hint="eastAsia"/>
          <w:sz w:val="24"/>
          <w:szCs w:val="20"/>
          <w:lang w:val="en-US"/>
        </w:rPr>
        <w:t>截止2023年12月31日，募集资金专户尚有余额</w:t>
      </w:r>
      <w:r>
        <w:rPr>
          <w:rFonts w:cs="Times New Roman" w:hint="eastAsia"/>
          <w:sz w:val="24"/>
          <w:szCs w:val="20"/>
        </w:rPr>
        <w:t>15,640.96</w:t>
      </w:r>
      <w:r>
        <w:rPr>
          <w:rFonts w:cs="Times New Roman" w:hint="eastAsia"/>
          <w:sz w:val="24"/>
          <w:szCs w:val="20"/>
          <w:lang w:val="en-US"/>
        </w:rPr>
        <w:t>万元。</w:t>
      </w:r>
    </w:p>
    <w:p w:rsidR="00BE740C" w:rsidRDefault="00A51C12" w:rsidP="00491310">
      <w:pPr>
        <w:adjustRightInd w:val="0"/>
        <w:snapToGrid w:val="0"/>
        <w:spacing w:line="348" w:lineRule="auto"/>
        <w:ind w:firstLineChars="200" w:firstLine="482"/>
        <w:jc w:val="both"/>
        <w:rPr>
          <w:rFonts w:cs="Times New Roman"/>
          <w:b/>
          <w:bCs/>
          <w:sz w:val="24"/>
          <w:szCs w:val="20"/>
        </w:rPr>
      </w:pPr>
      <w:r>
        <w:rPr>
          <w:rFonts w:cs="Times New Roman" w:hint="eastAsia"/>
          <w:b/>
          <w:bCs/>
          <w:sz w:val="24"/>
          <w:szCs w:val="20"/>
          <w:lang w:val="en-US"/>
        </w:rPr>
        <w:t xml:space="preserve">（四）投资方式 </w:t>
      </w:r>
    </w:p>
    <w:p w:rsidR="00BE740C" w:rsidRPr="006227EE" w:rsidRDefault="00A51C12" w:rsidP="006227EE">
      <w:pPr>
        <w:adjustRightInd w:val="0"/>
        <w:snapToGrid w:val="0"/>
        <w:spacing w:line="348" w:lineRule="auto"/>
        <w:ind w:firstLineChars="200" w:firstLine="480"/>
        <w:jc w:val="both"/>
        <w:rPr>
          <w:rFonts w:cs="Times New Roman"/>
          <w:sz w:val="24"/>
          <w:szCs w:val="20"/>
          <w:lang w:val="en-US"/>
        </w:rPr>
      </w:pPr>
      <w:r>
        <w:rPr>
          <w:rFonts w:cs="Times New Roman" w:hint="eastAsia"/>
          <w:sz w:val="24"/>
          <w:szCs w:val="20"/>
          <w:lang w:val="en-US"/>
        </w:rPr>
        <w:t>公</w:t>
      </w:r>
      <w:r w:rsidR="006227EE">
        <w:rPr>
          <w:rFonts w:cs="Times New Roman" w:hint="eastAsia"/>
          <w:sz w:val="24"/>
          <w:szCs w:val="20"/>
          <w:lang w:val="en-US"/>
        </w:rPr>
        <w:t>司将按照相关规定严格控制风险，使用部分闲置募集资金投资安全性高、</w:t>
      </w:r>
      <w:r>
        <w:rPr>
          <w:rFonts w:cs="Times New Roman" w:hint="eastAsia"/>
          <w:sz w:val="24"/>
          <w:szCs w:val="20"/>
          <w:lang w:val="en-US"/>
        </w:rPr>
        <w:t xml:space="preserve">流动性好的投资产品（包括但不限于协定性存款、结构性存款、定期存款、通知存款、大额存单等），且该等现金管理产品不得用于质押，不用于以证券投资为目的的投资行为。 </w:t>
      </w:r>
    </w:p>
    <w:p w:rsidR="00BE740C" w:rsidRDefault="00A51C12" w:rsidP="00491310">
      <w:pPr>
        <w:adjustRightInd w:val="0"/>
        <w:snapToGrid w:val="0"/>
        <w:spacing w:line="348" w:lineRule="auto"/>
        <w:ind w:firstLineChars="200" w:firstLine="480"/>
        <w:rPr>
          <w:color w:val="000000" w:themeColor="text1"/>
          <w:sz w:val="24"/>
        </w:rPr>
      </w:pPr>
      <w:r>
        <w:rPr>
          <w:rFonts w:hint="eastAsia"/>
          <w:color w:val="000000" w:themeColor="text1"/>
          <w:sz w:val="24"/>
        </w:rPr>
        <w:t>董事会同时授权董事长在额度范围及有效期内，行使该项投资决策权并签署相关合同文件，由公司财务总监负责具体购买事宜。</w:t>
      </w:r>
    </w:p>
    <w:p w:rsidR="00BE740C" w:rsidRDefault="00A51C12" w:rsidP="00491310">
      <w:pPr>
        <w:adjustRightInd w:val="0"/>
        <w:snapToGrid w:val="0"/>
        <w:spacing w:line="348" w:lineRule="auto"/>
        <w:ind w:firstLineChars="200" w:firstLine="482"/>
        <w:rPr>
          <w:b/>
          <w:color w:val="000000"/>
          <w:sz w:val="24"/>
        </w:rPr>
      </w:pPr>
      <w:r>
        <w:rPr>
          <w:rFonts w:hint="eastAsia"/>
          <w:b/>
          <w:color w:val="000000"/>
          <w:sz w:val="24"/>
        </w:rPr>
        <w:t>（五）投资期限</w:t>
      </w:r>
    </w:p>
    <w:p w:rsidR="00BE740C" w:rsidRDefault="00A51C12" w:rsidP="00491310">
      <w:pPr>
        <w:adjustRightInd w:val="0"/>
        <w:snapToGrid w:val="0"/>
        <w:spacing w:line="348" w:lineRule="auto"/>
        <w:ind w:firstLineChars="200" w:firstLine="480"/>
        <w:rPr>
          <w:rFonts w:cs="Times New Roman"/>
          <w:sz w:val="24"/>
          <w:szCs w:val="20"/>
          <w:lang w:val="en-US"/>
        </w:rPr>
      </w:pPr>
      <w:r>
        <w:rPr>
          <w:rFonts w:hint="eastAsia"/>
          <w:color w:val="000000"/>
          <w:sz w:val="24"/>
        </w:rPr>
        <w:t>自董事会审议通过后12个月之内有效。</w:t>
      </w:r>
    </w:p>
    <w:p w:rsidR="00BE740C" w:rsidRDefault="00BE740C" w:rsidP="00491310">
      <w:pPr>
        <w:numPr>
          <w:ilvl w:val="255"/>
          <w:numId w:val="0"/>
        </w:numPr>
        <w:adjustRightInd w:val="0"/>
        <w:snapToGrid w:val="0"/>
        <w:spacing w:line="348" w:lineRule="auto"/>
        <w:rPr>
          <w:rFonts w:ascii="黑体" w:eastAsia="黑体" w:hAnsi="黑体"/>
          <w:sz w:val="24"/>
          <w:lang w:val="en-US"/>
        </w:rPr>
      </w:pPr>
    </w:p>
    <w:p w:rsidR="00BE740C" w:rsidRDefault="00A51C12" w:rsidP="00491310">
      <w:pPr>
        <w:numPr>
          <w:ilvl w:val="255"/>
          <w:numId w:val="0"/>
        </w:numPr>
        <w:autoSpaceDE/>
        <w:autoSpaceDN/>
        <w:adjustRightInd w:val="0"/>
        <w:snapToGrid w:val="0"/>
        <w:spacing w:line="348" w:lineRule="auto"/>
        <w:ind w:firstLineChars="200" w:firstLine="480"/>
        <w:rPr>
          <w:rFonts w:ascii="黑体" w:eastAsia="黑体" w:hAnsi="黑体"/>
          <w:sz w:val="24"/>
          <w:lang w:val="en-US"/>
        </w:rPr>
      </w:pPr>
      <w:r>
        <w:rPr>
          <w:rFonts w:ascii="黑体" w:eastAsia="黑体" w:hAnsi="黑体" w:hint="eastAsia"/>
          <w:sz w:val="24"/>
          <w:lang w:val="en-US"/>
        </w:rPr>
        <w:t xml:space="preserve">二、审议程序 </w:t>
      </w:r>
    </w:p>
    <w:p w:rsidR="00BE740C" w:rsidRDefault="00A51C12" w:rsidP="00491310">
      <w:pPr>
        <w:adjustRightInd w:val="0"/>
        <w:snapToGrid w:val="0"/>
        <w:spacing w:line="348" w:lineRule="auto"/>
        <w:ind w:firstLineChars="200" w:firstLine="480"/>
        <w:jc w:val="both"/>
        <w:rPr>
          <w:rFonts w:cs="Times New Roman"/>
          <w:sz w:val="24"/>
          <w:szCs w:val="20"/>
        </w:rPr>
      </w:pPr>
      <w:r>
        <w:rPr>
          <w:rFonts w:asciiTheme="minorEastAsia" w:hAnsiTheme="minorEastAsia" w:hint="eastAsia"/>
          <w:color w:val="000000" w:themeColor="text1"/>
          <w:sz w:val="24"/>
          <w:szCs w:val="24"/>
        </w:rPr>
        <w:t>202</w:t>
      </w:r>
      <w:r>
        <w:rPr>
          <w:rFonts w:asciiTheme="minorEastAsia" w:hAnsiTheme="minorEastAsia" w:hint="eastAsia"/>
          <w:color w:val="000000" w:themeColor="text1"/>
          <w:sz w:val="24"/>
          <w:szCs w:val="24"/>
          <w:lang w:val="en-US"/>
        </w:rPr>
        <w:t>4</w:t>
      </w:r>
      <w:r>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lang w:val="en-US"/>
        </w:rPr>
        <w:t>3</w:t>
      </w:r>
      <w:r>
        <w:rPr>
          <w:rFonts w:asciiTheme="minorEastAsia" w:hAnsiTheme="minorEastAsia" w:hint="eastAsia"/>
          <w:color w:val="000000" w:themeColor="text1"/>
          <w:sz w:val="24"/>
          <w:szCs w:val="24"/>
        </w:rPr>
        <w:t>月1</w:t>
      </w:r>
      <w:r>
        <w:rPr>
          <w:rFonts w:asciiTheme="minorEastAsia" w:hAnsiTheme="minorEastAsia" w:hint="eastAsia"/>
          <w:color w:val="000000" w:themeColor="text1"/>
          <w:sz w:val="24"/>
          <w:szCs w:val="24"/>
          <w:lang w:val="en-US"/>
        </w:rPr>
        <w:t>6</w:t>
      </w:r>
      <w:r>
        <w:rPr>
          <w:rFonts w:asciiTheme="minorEastAsia" w:hAnsiTheme="minorEastAsia" w:hint="eastAsia"/>
          <w:color w:val="000000" w:themeColor="text1"/>
          <w:sz w:val="24"/>
          <w:szCs w:val="24"/>
        </w:rPr>
        <w:t>日，公司召</w:t>
      </w:r>
      <w:r>
        <w:rPr>
          <w:rFonts w:hint="eastAsia"/>
          <w:color w:val="000000" w:themeColor="text1"/>
          <w:sz w:val="24"/>
        </w:rPr>
        <w:t>开公司第十届董事会第二次会议</w:t>
      </w:r>
      <w:r>
        <w:rPr>
          <w:rFonts w:asciiTheme="minorEastAsia" w:hAnsiTheme="minorEastAsia" w:hint="eastAsia"/>
          <w:color w:val="000000" w:themeColor="text1"/>
          <w:sz w:val="24"/>
          <w:szCs w:val="24"/>
        </w:rPr>
        <w:t>、第十届监事会第二次会议，审议通过了</w:t>
      </w:r>
      <w:r>
        <w:rPr>
          <w:rFonts w:cs="Times New Roman" w:hint="eastAsia"/>
          <w:sz w:val="24"/>
          <w:szCs w:val="20"/>
        </w:rPr>
        <w:t>《</w:t>
      </w:r>
      <w:r>
        <w:rPr>
          <w:rFonts w:cs="Times New Roman" w:hint="eastAsia"/>
          <w:sz w:val="24"/>
          <w:szCs w:val="20"/>
          <w:lang w:val="en-US"/>
        </w:rPr>
        <w:t>关于使用部分闲置募集资金进行现金管理及追认使用部分闲置募集资金进行现金管理的</w:t>
      </w:r>
      <w:r>
        <w:rPr>
          <w:rFonts w:cs="Times New Roman" w:hint="eastAsia"/>
          <w:sz w:val="24"/>
          <w:szCs w:val="20"/>
        </w:rPr>
        <w:t>议案》</w:t>
      </w:r>
      <w:r>
        <w:rPr>
          <w:rFonts w:asciiTheme="minorEastAsia" w:hAnsiTheme="minorEastAsia" w:hint="eastAsia"/>
          <w:color w:val="000000" w:themeColor="text1"/>
          <w:sz w:val="24"/>
          <w:szCs w:val="24"/>
        </w:rPr>
        <w:t>，</w:t>
      </w:r>
      <w:r>
        <w:rPr>
          <w:rFonts w:cs="Times New Roman" w:hint="eastAsia"/>
          <w:sz w:val="24"/>
          <w:szCs w:val="20"/>
        </w:rPr>
        <w:t>同意公司使用最高余额不超过人民币</w:t>
      </w:r>
      <w:r>
        <w:rPr>
          <w:rFonts w:cs="Times New Roman" w:hint="eastAsia"/>
          <w:sz w:val="24"/>
          <w:szCs w:val="20"/>
          <w:lang w:val="en-US"/>
        </w:rPr>
        <w:t>1亿元（含1亿元）的部分闲置募集资金购买安全性高、流动性好的投资产品（包括但不限于协定性存款、结构性存款、定期存款、通知存款、大额存单等），在上述额度内，资金可以滚动使用，使用期限自董事会审议通过之日起12个月内有效。</w:t>
      </w:r>
      <w:r>
        <w:rPr>
          <w:rFonts w:hint="eastAsia"/>
          <w:color w:val="000000" w:themeColor="text1"/>
          <w:sz w:val="24"/>
        </w:rPr>
        <w:t>董事会同时授权董事长在额度范围及有效期内，行使该项投资决策权并签署相关合同文件，由公司财务总监负责具体购买事宜</w:t>
      </w:r>
      <w:r>
        <w:rPr>
          <w:rFonts w:cs="Times New Roman" w:hint="eastAsia"/>
          <w:sz w:val="24"/>
          <w:szCs w:val="20"/>
          <w:lang w:val="en-US"/>
        </w:rPr>
        <w:t>。同时，公司对前期使用部分闲置募集资金</w:t>
      </w:r>
      <w:r>
        <w:rPr>
          <w:rFonts w:cs="Times New Roman" w:hint="eastAsia"/>
          <w:sz w:val="24"/>
          <w:szCs w:val="20"/>
        </w:rPr>
        <w:t>办理银行七天通知存款业务事项进行了追认。</w:t>
      </w:r>
    </w:p>
    <w:p w:rsidR="00BE740C" w:rsidRDefault="00BE740C" w:rsidP="00491310">
      <w:pPr>
        <w:adjustRightInd w:val="0"/>
        <w:snapToGrid w:val="0"/>
        <w:spacing w:line="348" w:lineRule="auto"/>
        <w:ind w:firstLineChars="200" w:firstLine="480"/>
        <w:jc w:val="both"/>
        <w:rPr>
          <w:rFonts w:cs="Times New Roman"/>
          <w:sz w:val="24"/>
          <w:szCs w:val="20"/>
        </w:rPr>
      </w:pPr>
    </w:p>
    <w:p w:rsidR="00BE740C" w:rsidRDefault="00A51C12" w:rsidP="00491310">
      <w:pPr>
        <w:adjustRightInd w:val="0"/>
        <w:snapToGrid w:val="0"/>
        <w:spacing w:line="348" w:lineRule="auto"/>
        <w:ind w:firstLineChars="200" w:firstLine="480"/>
        <w:rPr>
          <w:rFonts w:ascii="黑体" w:eastAsia="黑体" w:hAnsi="黑体"/>
          <w:sz w:val="24"/>
          <w:lang w:val="en-US"/>
        </w:rPr>
      </w:pPr>
      <w:r>
        <w:rPr>
          <w:rFonts w:ascii="黑体" w:eastAsia="黑体" w:hAnsi="黑体" w:hint="eastAsia"/>
          <w:sz w:val="24"/>
          <w:lang w:val="en-US"/>
        </w:rPr>
        <w:lastRenderedPageBreak/>
        <w:t>三、风险分析</w:t>
      </w:r>
      <w:proofErr w:type="gramStart"/>
      <w:r>
        <w:rPr>
          <w:rFonts w:ascii="黑体" w:eastAsia="黑体" w:hAnsi="黑体" w:hint="eastAsia"/>
          <w:sz w:val="24"/>
          <w:lang w:val="en-US"/>
        </w:rPr>
        <w:t>及风控措施</w:t>
      </w:r>
      <w:proofErr w:type="gramEnd"/>
      <w:r>
        <w:rPr>
          <w:rFonts w:ascii="黑体" w:eastAsia="黑体" w:hAnsi="黑体" w:hint="eastAsia"/>
          <w:sz w:val="24"/>
          <w:lang w:val="en-US"/>
        </w:rPr>
        <w:t xml:space="preserve"> </w:t>
      </w:r>
    </w:p>
    <w:p w:rsidR="00BE740C" w:rsidRDefault="00A51C12" w:rsidP="00491310">
      <w:pPr>
        <w:adjustRightInd w:val="0"/>
        <w:snapToGrid w:val="0"/>
        <w:spacing w:line="348" w:lineRule="auto"/>
        <w:ind w:firstLineChars="200" w:firstLine="482"/>
        <w:jc w:val="both"/>
        <w:rPr>
          <w:rFonts w:cs="Times New Roman"/>
          <w:b/>
          <w:bCs/>
          <w:sz w:val="24"/>
          <w:szCs w:val="20"/>
          <w:lang w:val="en-US"/>
        </w:rPr>
      </w:pPr>
      <w:r>
        <w:rPr>
          <w:rFonts w:cs="Times New Roman" w:hint="eastAsia"/>
          <w:b/>
          <w:bCs/>
          <w:sz w:val="24"/>
          <w:szCs w:val="20"/>
          <w:lang w:val="en-US"/>
        </w:rPr>
        <w:t>（一）投资风险</w:t>
      </w:r>
    </w:p>
    <w:p w:rsidR="00BE740C" w:rsidRDefault="00A51C12" w:rsidP="00491310">
      <w:pPr>
        <w:adjustRightInd w:val="0"/>
        <w:snapToGrid w:val="0"/>
        <w:spacing w:line="348" w:lineRule="auto"/>
        <w:ind w:firstLineChars="200" w:firstLine="480"/>
        <w:jc w:val="both"/>
        <w:rPr>
          <w:rFonts w:cs="Times New Roman"/>
          <w:sz w:val="24"/>
          <w:szCs w:val="20"/>
          <w:lang w:val="en-US"/>
        </w:rPr>
      </w:pPr>
      <w:r>
        <w:rPr>
          <w:rFonts w:cs="Times New Roman" w:hint="eastAsia"/>
          <w:sz w:val="24"/>
          <w:szCs w:val="20"/>
          <w:lang w:val="en-US"/>
        </w:rPr>
        <w:t>尽管公司拟投资安全性高、流动性好的投资产品，投资风险可控，但金融市场受宏观经济影响较大，不排除该项投资受到市场波动的影响，存在一定的系统性风险。公司将根据经济形势以及金融市场的变化适时适量介入。</w:t>
      </w:r>
    </w:p>
    <w:p w:rsidR="00BE740C" w:rsidRDefault="00A51C12" w:rsidP="00491310">
      <w:pPr>
        <w:adjustRightInd w:val="0"/>
        <w:snapToGrid w:val="0"/>
        <w:spacing w:line="348" w:lineRule="auto"/>
        <w:ind w:firstLineChars="200" w:firstLine="482"/>
        <w:jc w:val="both"/>
        <w:rPr>
          <w:rFonts w:cs="Times New Roman"/>
          <w:b/>
          <w:bCs/>
          <w:sz w:val="24"/>
          <w:szCs w:val="20"/>
          <w:lang w:val="en-US"/>
        </w:rPr>
      </w:pPr>
      <w:r>
        <w:rPr>
          <w:rFonts w:cs="Times New Roman" w:hint="eastAsia"/>
          <w:b/>
          <w:bCs/>
          <w:sz w:val="24"/>
          <w:szCs w:val="20"/>
          <w:lang w:val="en-US"/>
        </w:rPr>
        <w:t xml:space="preserve">（二）风险控制措施 </w:t>
      </w:r>
    </w:p>
    <w:p w:rsidR="00BE740C" w:rsidRDefault="00A51C12" w:rsidP="00491310">
      <w:pPr>
        <w:adjustRightInd w:val="0"/>
        <w:snapToGrid w:val="0"/>
        <w:spacing w:line="348" w:lineRule="auto"/>
        <w:ind w:firstLineChars="200" w:firstLine="480"/>
        <w:jc w:val="both"/>
        <w:rPr>
          <w:rFonts w:cs="Times New Roman"/>
          <w:sz w:val="24"/>
          <w:szCs w:val="20"/>
          <w:lang w:val="en-US"/>
        </w:rPr>
      </w:pPr>
      <w:r>
        <w:rPr>
          <w:rFonts w:cs="Times New Roman"/>
          <w:sz w:val="24"/>
          <w:szCs w:val="20"/>
          <w:lang w:val="en-US"/>
        </w:rPr>
        <w:t>1</w:t>
      </w:r>
      <w:r>
        <w:rPr>
          <w:rFonts w:cs="Times New Roman" w:hint="eastAsia"/>
          <w:sz w:val="24"/>
          <w:szCs w:val="20"/>
          <w:lang w:val="en-US"/>
        </w:rPr>
        <w:t>、公司将严格按照《上市公司监管指引第</w:t>
      </w:r>
      <w:r>
        <w:rPr>
          <w:rFonts w:cs="Times New Roman"/>
          <w:sz w:val="24"/>
          <w:szCs w:val="20"/>
          <w:lang w:val="en-US"/>
        </w:rPr>
        <w:t>2</w:t>
      </w:r>
      <w:r>
        <w:rPr>
          <w:rFonts w:cs="Times New Roman" w:hint="eastAsia"/>
          <w:sz w:val="24"/>
          <w:szCs w:val="20"/>
          <w:lang w:val="en-US"/>
        </w:rPr>
        <w:t>号</w:t>
      </w:r>
      <w:r>
        <w:rPr>
          <w:rFonts w:cs="Times New Roman"/>
          <w:sz w:val="24"/>
          <w:szCs w:val="20"/>
          <w:lang w:val="en-US"/>
        </w:rPr>
        <w:t>——</w:t>
      </w:r>
      <w:r>
        <w:rPr>
          <w:rFonts w:cs="Times New Roman" w:hint="eastAsia"/>
          <w:sz w:val="24"/>
          <w:szCs w:val="20"/>
          <w:lang w:val="en-US"/>
        </w:rPr>
        <w:t>上市公司募集资金管理 和使用的监管要求》《上海证券交易所上市公司自律监管指引第</w:t>
      </w:r>
      <w:r>
        <w:rPr>
          <w:rFonts w:cs="Times New Roman"/>
          <w:sz w:val="24"/>
          <w:szCs w:val="20"/>
          <w:lang w:val="en-US"/>
        </w:rPr>
        <w:t>1</w:t>
      </w:r>
      <w:r>
        <w:rPr>
          <w:rFonts w:cs="Times New Roman" w:hint="eastAsia"/>
          <w:sz w:val="24"/>
          <w:szCs w:val="20"/>
          <w:lang w:val="en-US"/>
        </w:rPr>
        <w:t>号</w:t>
      </w:r>
      <w:r>
        <w:rPr>
          <w:rFonts w:cs="Times New Roman"/>
          <w:sz w:val="24"/>
          <w:szCs w:val="20"/>
          <w:lang w:val="en-US"/>
        </w:rPr>
        <w:t>——</w:t>
      </w:r>
      <w:r>
        <w:rPr>
          <w:rFonts w:cs="Times New Roman" w:hint="eastAsia"/>
          <w:sz w:val="24"/>
          <w:szCs w:val="20"/>
          <w:lang w:val="en-US"/>
        </w:rPr>
        <w:t>规范运作》以及公司《募集资金管理制度》等有关规定办理相关现金管理业务。</w:t>
      </w:r>
    </w:p>
    <w:p w:rsidR="00BE740C" w:rsidRDefault="00A51C12" w:rsidP="00491310">
      <w:pPr>
        <w:adjustRightInd w:val="0"/>
        <w:snapToGrid w:val="0"/>
        <w:spacing w:line="348" w:lineRule="auto"/>
        <w:ind w:firstLineChars="200" w:firstLine="480"/>
        <w:jc w:val="both"/>
        <w:rPr>
          <w:rFonts w:cs="Times New Roman"/>
          <w:sz w:val="24"/>
          <w:szCs w:val="20"/>
          <w:lang w:val="en-US"/>
        </w:rPr>
      </w:pPr>
      <w:r>
        <w:rPr>
          <w:rFonts w:cs="Times New Roman"/>
          <w:sz w:val="24"/>
          <w:szCs w:val="20"/>
          <w:lang w:val="en-US"/>
        </w:rPr>
        <w:t>2</w:t>
      </w:r>
      <w:r>
        <w:rPr>
          <w:rFonts w:cs="Times New Roman" w:hint="eastAsia"/>
          <w:sz w:val="24"/>
          <w:szCs w:val="20"/>
          <w:lang w:val="en-US"/>
        </w:rPr>
        <w:t>、公司按照决策、执行、监督职能相分离的原则建立健全现金管理的审批和执行程序，有效开展和规范运行现金管理的投资产品购买事宜，确保资金安全。</w:t>
      </w:r>
    </w:p>
    <w:p w:rsidR="00BE740C" w:rsidRDefault="00A51C12" w:rsidP="00491310">
      <w:pPr>
        <w:adjustRightInd w:val="0"/>
        <w:snapToGrid w:val="0"/>
        <w:spacing w:line="348" w:lineRule="auto"/>
        <w:ind w:firstLineChars="200" w:firstLine="480"/>
        <w:jc w:val="both"/>
        <w:rPr>
          <w:rFonts w:cs="Times New Roman"/>
          <w:sz w:val="24"/>
          <w:szCs w:val="20"/>
          <w:lang w:val="en-US"/>
        </w:rPr>
      </w:pPr>
      <w:r>
        <w:rPr>
          <w:rFonts w:cs="Times New Roman"/>
          <w:sz w:val="24"/>
          <w:szCs w:val="20"/>
          <w:lang w:val="en-US"/>
        </w:rPr>
        <w:t>3</w:t>
      </w:r>
      <w:r>
        <w:rPr>
          <w:rFonts w:cs="Times New Roman" w:hint="eastAsia"/>
          <w:sz w:val="24"/>
          <w:szCs w:val="20"/>
          <w:lang w:val="en-US"/>
        </w:rPr>
        <w:t>、公司将严格遵守审慎投资原则筛选投资对象，主要选择信誉好、规模大、 有能力保障资金安全的发行主体所发行的产品。</w:t>
      </w:r>
    </w:p>
    <w:p w:rsidR="00BE740C" w:rsidRDefault="00A51C12" w:rsidP="00491310">
      <w:pPr>
        <w:adjustRightInd w:val="0"/>
        <w:snapToGrid w:val="0"/>
        <w:spacing w:line="348" w:lineRule="auto"/>
        <w:ind w:firstLineChars="200" w:firstLine="480"/>
        <w:jc w:val="both"/>
        <w:rPr>
          <w:rFonts w:cs="Times New Roman"/>
          <w:sz w:val="24"/>
          <w:szCs w:val="20"/>
          <w:lang w:val="en-US"/>
        </w:rPr>
      </w:pPr>
      <w:r>
        <w:rPr>
          <w:rFonts w:cs="Times New Roman"/>
          <w:sz w:val="24"/>
          <w:szCs w:val="20"/>
          <w:lang w:val="en-US"/>
        </w:rPr>
        <w:t>4</w:t>
      </w:r>
      <w:r>
        <w:rPr>
          <w:rFonts w:cs="Times New Roman" w:hint="eastAsia"/>
          <w:sz w:val="24"/>
          <w:szCs w:val="20"/>
          <w:lang w:val="en-US"/>
        </w:rPr>
        <w:t>、公司财务部相关人员将及时分析和跟踪投资产品的投向、项目进展情况， 如评估发现存在可能影响公司资金安全的风险因素，将及时采取相应保全措施</w:t>
      </w:r>
      <w:r>
        <w:rPr>
          <w:rFonts w:cs="Times New Roman"/>
          <w:sz w:val="24"/>
          <w:szCs w:val="20"/>
          <w:lang w:val="en-US"/>
        </w:rPr>
        <w:t>,</w:t>
      </w:r>
      <w:r>
        <w:rPr>
          <w:rFonts w:cs="Times New Roman" w:hint="eastAsia"/>
          <w:sz w:val="24"/>
          <w:szCs w:val="20"/>
          <w:lang w:val="en-US"/>
        </w:rPr>
        <w:t xml:space="preserve">控制理财风险。 </w:t>
      </w:r>
    </w:p>
    <w:p w:rsidR="00BE740C" w:rsidRPr="006227EE" w:rsidRDefault="00A51C12" w:rsidP="006227EE">
      <w:pPr>
        <w:adjustRightInd w:val="0"/>
        <w:snapToGrid w:val="0"/>
        <w:spacing w:line="348" w:lineRule="auto"/>
        <w:ind w:firstLineChars="200" w:firstLine="480"/>
        <w:jc w:val="both"/>
        <w:rPr>
          <w:rFonts w:cs="Times New Roman"/>
          <w:sz w:val="24"/>
          <w:szCs w:val="20"/>
          <w:lang w:val="en-US"/>
        </w:rPr>
      </w:pPr>
      <w:r>
        <w:rPr>
          <w:rFonts w:cs="Times New Roman"/>
          <w:sz w:val="24"/>
          <w:szCs w:val="20"/>
          <w:lang w:val="en-US"/>
        </w:rPr>
        <w:t>5</w:t>
      </w:r>
      <w:r>
        <w:rPr>
          <w:rFonts w:cs="Times New Roman" w:hint="eastAsia"/>
          <w:sz w:val="24"/>
          <w:szCs w:val="20"/>
          <w:lang w:val="en-US"/>
        </w:rPr>
        <w:t>、公司监事会、独立董事、董事会审计委员会有权对资金使用情况进行监</w:t>
      </w:r>
      <w:r>
        <w:rPr>
          <w:rFonts w:hint="eastAsia"/>
          <w:color w:val="000000"/>
          <w:sz w:val="24"/>
          <w:szCs w:val="24"/>
          <w:lang w:val="en-US"/>
        </w:rPr>
        <w:t xml:space="preserve">督与检查，必要时可以聘请专业机构进行审计。 </w:t>
      </w:r>
    </w:p>
    <w:p w:rsidR="00BE740C" w:rsidRDefault="00BE740C" w:rsidP="00491310">
      <w:pPr>
        <w:adjustRightInd w:val="0"/>
        <w:snapToGrid w:val="0"/>
        <w:spacing w:line="348" w:lineRule="auto"/>
        <w:ind w:firstLineChars="200" w:firstLine="480"/>
        <w:rPr>
          <w:rFonts w:ascii="黑体" w:eastAsia="黑体" w:hAnsi="黑体"/>
          <w:sz w:val="24"/>
          <w:lang w:val="en-US"/>
        </w:rPr>
      </w:pPr>
    </w:p>
    <w:p w:rsidR="00BE740C" w:rsidRDefault="00A51C12" w:rsidP="00491310">
      <w:pPr>
        <w:adjustRightInd w:val="0"/>
        <w:snapToGrid w:val="0"/>
        <w:spacing w:line="348" w:lineRule="auto"/>
        <w:ind w:firstLineChars="200" w:firstLine="480"/>
        <w:rPr>
          <w:rFonts w:cs="Times New Roman"/>
          <w:sz w:val="24"/>
          <w:szCs w:val="20"/>
          <w:lang w:val="en-US"/>
        </w:rPr>
      </w:pPr>
      <w:r>
        <w:rPr>
          <w:rFonts w:ascii="黑体" w:eastAsia="黑体" w:hAnsi="黑体" w:hint="eastAsia"/>
          <w:sz w:val="24"/>
          <w:lang w:val="en-US"/>
        </w:rPr>
        <w:t>四、追认公司暂时闲置募集资金进行现金管理的情况</w:t>
      </w:r>
    </w:p>
    <w:p w:rsidR="00BE740C" w:rsidRDefault="00A51C12" w:rsidP="006227EE">
      <w:pPr>
        <w:adjustRightInd w:val="0"/>
        <w:snapToGrid w:val="0"/>
        <w:spacing w:line="348" w:lineRule="auto"/>
        <w:ind w:firstLineChars="200" w:firstLine="480"/>
        <w:jc w:val="both"/>
        <w:rPr>
          <w:rFonts w:cs="Times New Roman"/>
          <w:szCs w:val="20"/>
        </w:rPr>
      </w:pPr>
      <w:r>
        <w:rPr>
          <w:rFonts w:cs="Times New Roman" w:hint="eastAsia"/>
          <w:sz w:val="24"/>
          <w:szCs w:val="20"/>
          <w:lang w:val="en-US"/>
        </w:rPr>
        <w:t>为提高公司募集资金使用效率，在不影响募集资金项目建设和募集资金使用的情况下，公司前期存在使用部分暂时闲置募集资金办理七天通知存款业务，以增加资金收益情况。具体如下：</w:t>
      </w:r>
    </w:p>
    <w:tbl>
      <w:tblPr>
        <w:tblStyle w:val="TableNormal"/>
        <w:tblW w:w="5000" w:type="pct"/>
        <w:tblInd w:w="0"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ook w:val="04A0" w:firstRow="1" w:lastRow="0" w:firstColumn="1" w:lastColumn="0" w:noHBand="0" w:noVBand="1"/>
      </w:tblPr>
      <w:tblGrid>
        <w:gridCol w:w="2851"/>
        <w:gridCol w:w="1842"/>
        <w:gridCol w:w="1703"/>
        <w:gridCol w:w="1938"/>
      </w:tblGrid>
      <w:tr w:rsidR="00BE740C">
        <w:trPr>
          <w:trHeight w:val="397"/>
        </w:trPr>
        <w:tc>
          <w:tcPr>
            <w:tcW w:w="1710" w:type="pct"/>
            <w:vAlign w:val="center"/>
          </w:tcPr>
          <w:p w:rsidR="00BE740C" w:rsidRDefault="00A51C12" w:rsidP="00491310">
            <w:pPr>
              <w:pStyle w:val="TableParagraph"/>
              <w:snapToGrid w:val="0"/>
              <w:spacing w:line="348" w:lineRule="auto"/>
              <w:jc w:val="center"/>
              <w:rPr>
                <w:rFonts w:cs="Times New Roman"/>
                <w:b/>
                <w:sz w:val="24"/>
                <w:szCs w:val="24"/>
              </w:rPr>
            </w:pPr>
            <w:r>
              <w:rPr>
                <w:rFonts w:cs="Times New Roman" w:hint="eastAsia"/>
                <w:b/>
                <w:sz w:val="24"/>
                <w:szCs w:val="24"/>
              </w:rPr>
              <w:t>银行</w:t>
            </w:r>
          </w:p>
        </w:tc>
        <w:tc>
          <w:tcPr>
            <w:tcW w:w="1105" w:type="pct"/>
            <w:vAlign w:val="center"/>
          </w:tcPr>
          <w:p w:rsidR="00BE740C" w:rsidRDefault="00A51C12" w:rsidP="00491310">
            <w:pPr>
              <w:pStyle w:val="TableParagraph"/>
              <w:snapToGrid w:val="0"/>
              <w:spacing w:line="348" w:lineRule="auto"/>
              <w:jc w:val="center"/>
              <w:rPr>
                <w:rFonts w:cs="Times New Roman"/>
                <w:b/>
                <w:sz w:val="24"/>
                <w:szCs w:val="24"/>
              </w:rPr>
            </w:pPr>
            <w:r>
              <w:rPr>
                <w:rFonts w:cs="Times New Roman" w:hint="eastAsia"/>
                <w:b/>
                <w:sz w:val="24"/>
                <w:szCs w:val="24"/>
              </w:rPr>
              <w:t>产品名称</w:t>
            </w:r>
          </w:p>
        </w:tc>
        <w:tc>
          <w:tcPr>
            <w:tcW w:w="1022" w:type="pct"/>
            <w:vAlign w:val="center"/>
          </w:tcPr>
          <w:p w:rsidR="00BE740C" w:rsidRDefault="00A51C12" w:rsidP="00491310">
            <w:pPr>
              <w:pStyle w:val="TableParagraph"/>
              <w:snapToGrid w:val="0"/>
              <w:spacing w:line="348" w:lineRule="auto"/>
              <w:jc w:val="center"/>
              <w:rPr>
                <w:rFonts w:cs="Times New Roman"/>
                <w:b/>
                <w:sz w:val="24"/>
                <w:szCs w:val="24"/>
              </w:rPr>
            </w:pPr>
            <w:r>
              <w:rPr>
                <w:rFonts w:cs="Times New Roman" w:hint="eastAsia"/>
                <w:b/>
                <w:sz w:val="24"/>
                <w:szCs w:val="24"/>
              </w:rPr>
              <w:t>金额（万元）</w:t>
            </w:r>
          </w:p>
        </w:tc>
        <w:tc>
          <w:tcPr>
            <w:tcW w:w="1163" w:type="pct"/>
            <w:vAlign w:val="center"/>
          </w:tcPr>
          <w:p w:rsidR="00BE740C" w:rsidRDefault="00A51C12" w:rsidP="00491310">
            <w:pPr>
              <w:pStyle w:val="TableParagraph"/>
              <w:snapToGrid w:val="0"/>
              <w:spacing w:line="348" w:lineRule="auto"/>
              <w:jc w:val="center"/>
              <w:rPr>
                <w:b/>
                <w:sz w:val="24"/>
                <w:szCs w:val="24"/>
              </w:rPr>
            </w:pPr>
            <w:r>
              <w:rPr>
                <w:rFonts w:hint="eastAsia"/>
                <w:b/>
                <w:sz w:val="24"/>
                <w:szCs w:val="24"/>
              </w:rPr>
              <w:t>起止时间</w:t>
            </w:r>
          </w:p>
        </w:tc>
      </w:tr>
      <w:tr w:rsidR="00BE740C">
        <w:trPr>
          <w:trHeight w:val="397"/>
        </w:trPr>
        <w:tc>
          <w:tcPr>
            <w:tcW w:w="1710" w:type="pct"/>
            <w:vAlign w:val="center"/>
          </w:tcPr>
          <w:p w:rsidR="00BE740C" w:rsidRDefault="00A51C12" w:rsidP="00491310">
            <w:pPr>
              <w:pStyle w:val="TableParagraph"/>
              <w:snapToGrid w:val="0"/>
              <w:spacing w:line="348" w:lineRule="auto"/>
              <w:jc w:val="center"/>
              <w:rPr>
                <w:sz w:val="24"/>
                <w:szCs w:val="24"/>
              </w:rPr>
            </w:pPr>
            <w:r>
              <w:rPr>
                <w:rFonts w:asciiTheme="minorEastAsia" w:hAnsiTheme="minorEastAsia" w:cs="Times New Roman" w:hint="eastAsia"/>
                <w:sz w:val="24"/>
                <w:szCs w:val="24"/>
              </w:rPr>
              <w:t>徽商银行股份有限公司铜陵北京路支行</w:t>
            </w:r>
          </w:p>
        </w:tc>
        <w:tc>
          <w:tcPr>
            <w:tcW w:w="1105" w:type="pct"/>
            <w:vAlign w:val="center"/>
          </w:tcPr>
          <w:p w:rsidR="00BE740C" w:rsidRDefault="00A51C12" w:rsidP="00491310">
            <w:pPr>
              <w:pStyle w:val="TableParagraph"/>
              <w:snapToGrid w:val="0"/>
              <w:spacing w:line="348" w:lineRule="auto"/>
              <w:ind w:left="0"/>
              <w:jc w:val="center"/>
              <w:rPr>
                <w:sz w:val="24"/>
                <w:szCs w:val="24"/>
              </w:rPr>
            </w:pPr>
            <w:r>
              <w:rPr>
                <w:sz w:val="24"/>
                <w:szCs w:val="24"/>
              </w:rPr>
              <w:t>七天通知存款</w:t>
            </w:r>
          </w:p>
        </w:tc>
        <w:tc>
          <w:tcPr>
            <w:tcW w:w="1022" w:type="pct"/>
            <w:vAlign w:val="center"/>
          </w:tcPr>
          <w:p w:rsidR="00BE740C" w:rsidRDefault="00A51C12" w:rsidP="00491310">
            <w:pPr>
              <w:pStyle w:val="TableParagraph"/>
              <w:snapToGrid w:val="0"/>
              <w:spacing w:line="348" w:lineRule="auto"/>
              <w:ind w:left="0" w:right="121"/>
              <w:jc w:val="center"/>
              <w:rPr>
                <w:sz w:val="24"/>
                <w:szCs w:val="24"/>
              </w:rPr>
            </w:pPr>
            <w:r>
              <w:rPr>
                <w:sz w:val="24"/>
                <w:szCs w:val="24"/>
                <w:lang w:val="en-US"/>
              </w:rPr>
              <w:t>10,000.00</w:t>
            </w:r>
          </w:p>
        </w:tc>
        <w:tc>
          <w:tcPr>
            <w:tcW w:w="1163" w:type="pct"/>
            <w:vAlign w:val="center"/>
          </w:tcPr>
          <w:p w:rsidR="00BE740C" w:rsidRDefault="00A51C12" w:rsidP="00491310">
            <w:pPr>
              <w:pStyle w:val="TableParagraph"/>
              <w:snapToGrid w:val="0"/>
              <w:spacing w:line="348" w:lineRule="auto"/>
              <w:jc w:val="center"/>
              <w:rPr>
                <w:sz w:val="24"/>
                <w:szCs w:val="24"/>
              </w:rPr>
            </w:pPr>
            <w:r>
              <w:rPr>
                <w:sz w:val="24"/>
                <w:szCs w:val="24"/>
              </w:rPr>
              <w:t>2023年9月5日</w:t>
            </w:r>
            <w:r>
              <w:rPr>
                <w:rFonts w:hint="eastAsia"/>
                <w:sz w:val="24"/>
                <w:szCs w:val="24"/>
              </w:rPr>
              <w:t>-</w:t>
            </w:r>
            <w:r>
              <w:rPr>
                <w:sz w:val="24"/>
                <w:szCs w:val="24"/>
              </w:rPr>
              <w:t>2023年10月18日</w:t>
            </w:r>
          </w:p>
        </w:tc>
      </w:tr>
    </w:tbl>
    <w:p w:rsidR="00BE740C" w:rsidRDefault="00BE740C" w:rsidP="00491310">
      <w:pPr>
        <w:adjustRightInd w:val="0"/>
        <w:snapToGrid w:val="0"/>
        <w:spacing w:line="348" w:lineRule="auto"/>
        <w:ind w:firstLineChars="200" w:firstLine="420"/>
        <w:jc w:val="both"/>
        <w:rPr>
          <w:sz w:val="21"/>
          <w:szCs w:val="21"/>
        </w:rPr>
      </w:pPr>
    </w:p>
    <w:p w:rsidR="00BE740C" w:rsidRDefault="00A51C12" w:rsidP="00491310">
      <w:pPr>
        <w:adjustRightInd w:val="0"/>
        <w:snapToGrid w:val="0"/>
        <w:spacing w:line="348" w:lineRule="auto"/>
        <w:ind w:firstLineChars="200" w:firstLine="480"/>
        <w:jc w:val="both"/>
        <w:rPr>
          <w:rFonts w:cs="Times New Roman"/>
          <w:sz w:val="24"/>
          <w:szCs w:val="20"/>
          <w:lang w:val="en-US"/>
        </w:rPr>
      </w:pPr>
      <w:r>
        <w:rPr>
          <w:rFonts w:cs="Times New Roman" w:hint="eastAsia"/>
          <w:sz w:val="24"/>
          <w:szCs w:val="20"/>
          <w:lang w:val="en-US"/>
        </w:rPr>
        <w:t>2023年</w:t>
      </w:r>
      <w:r>
        <w:rPr>
          <w:rFonts w:cs="Times New Roman"/>
          <w:sz w:val="24"/>
          <w:szCs w:val="20"/>
          <w:lang w:val="en-US"/>
        </w:rPr>
        <w:t>10</w:t>
      </w:r>
      <w:r>
        <w:rPr>
          <w:rFonts w:cs="Times New Roman" w:hint="eastAsia"/>
          <w:sz w:val="24"/>
          <w:szCs w:val="20"/>
          <w:lang w:val="en-US"/>
        </w:rPr>
        <w:t>月</w:t>
      </w:r>
      <w:r>
        <w:rPr>
          <w:rFonts w:cs="Times New Roman"/>
          <w:sz w:val="24"/>
          <w:szCs w:val="20"/>
          <w:lang w:val="en-US"/>
        </w:rPr>
        <w:t>18</w:t>
      </w:r>
      <w:r>
        <w:rPr>
          <w:rFonts w:cs="Times New Roman" w:hint="eastAsia"/>
          <w:sz w:val="24"/>
          <w:szCs w:val="20"/>
          <w:lang w:val="en-US"/>
        </w:rPr>
        <w:t>日，上述七天通知存款本金</w:t>
      </w:r>
      <w:r>
        <w:rPr>
          <w:rFonts w:cs="Times New Roman"/>
          <w:sz w:val="24"/>
          <w:szCs w:val="20"/>
          <w:lang w:val="en-US"/>
        </w:rPr>
        <w:t>10,000</w:t>
      </w:r>
      <w:r>
        <w:rPr>
          <w:rFonts w:cs="Times New Roman" w:hint="eastAsia"/>
          <w:sz w:val="24"/>
          <w:szCs w:val="20"/>
          <w:lang w:val="en-US"/>
        </w:rPr>
        <w:t>万元及利息18</w:t>
      </w:r>
      <w:r>
        <w:rPr>
          <w:rFonts w:cs="Times New Roman"/>
          <w:sz w:val="24"/>
          <w:szCs w:val="20"/>
          <w:lang w:val="en-US"/>
        </w:rPr>
        <w:t>.</w:t>
      </w:r>
      <w:r>
        <w:rPr>
          <w:rFonts w:cs="Times New Roman" w:hint="eastAsia"/>
          <w:sz w:val="24"/>
          <w:szCs w:val="20"/>
          <w:lang w:val="en-US"/>
        </w:rPr>
        <w:t>51万元已经全部赎回并自动回到募集资金专项账户。截止目前，公司未再使用募集资金购买通知存款。</w:t>
      </w:r>
    </w:p>
    <w:p w:rsidR="00BE740C" w:rsidRDefault="00A51C12" w:rsidP="00491310">
      <w:pPr>
        <w:adjustRightInd w:val="0"/>
        <w:snapToGrid w:val="0"/>
        <w:spacing w:line="348" w:lineRule="auto"/>
        <w:ind w:firstLineChars="200" w:firstLine="480"/>
        <w:jc w:val="both"/>
        <w:rPr>
          <w:sz w:val="24"/>
          <w:szCs w:val="24"/>
        </w:rPr>
      </w:pPr>
      <w:r>
        <w:rPr>
          <w:rFonts w:cs="Times New Roman" w:hint="eastAsia"/>
          <w:sz w:val="24"/>
          <w:szCs w:val="20"/>
        </w:rPr>
        <w:lastRenderedPageBreak/>
        <w:t>202</w:t>
      </w:r>
      <w:r>
        <w:rPr>
          <w:rFonts w:cs="Times New Roman" w:hint="eastAsia"/>
          <w:sz w:val="24"/>
          <w:szCs w:val="20"/>
          <w:lang w:val="en-US"/>
        </w:rPr>
        <w:t>4</w:t>
      </w:r>
      <w:r>
        <w:rPr>
          <w:rFonts w:cs="Times New Roman" w:hint="eastAsia"/>
          <w:sz w:val="24"/>
          <w:szCs w:val="20"/>
        </w:rPr>
        <w:t>年3月</w:t>
      </w:r>
      <w:r>
        <w:rPr>
          <w:rFonts w:cs="Times New Roman" w:hint="eastAsia"/>
          <w:sz w:val="24"/>
          <w:szCs w:val="20"/>
          <w:lang w:val="en-US"/>
        </w:rPr>
        <w:t>16</w:t>
      </w:r>
      <w:r>
        <w:rPr>
          <w:rFonts w:cs="Times New Roman" w:hint="eastAsia"/>
          <w:sz w:val="24"/>
          <w:szCs w:val="20"/>
        </w:rPr>
        <w:t>日，</w:t>
      </w:r>
      <w:r>
        <w:rPr>
          <w:rFonts w:hint="eastAsia"/>
          <w:sz w:val="24"/>
          <w:szCs w:val="24"/>
        </w:rPr>
        <w:t>公司</w:t>
      </w:r>
      <w:r>
        <w:rPr>
          <w:rFonts w:cs="Times New Roman" w:hint="eastAsia"/>
          <w:sz w:val="24"/>
          <w:szCs w:val="20"/>
        </w:rPr>
        <w:t>第十届董事会第二次会议和第十届监事会第二次</w:t>
      </w:r>
      <w:r>
        <w:rPr>
          <w:rFonts w:hint="eastAsia"/>
          <w:sz w:val="24"/>
          <w:szCs w:val="24"/>
        </w:rPr>
        <w:t>会议审议通过了《关于使用部分闲置募集资金进行现金管理及追认使用部分闲置募集资金进行现金管理的议案》，对上述使用部分闲置募集资金</w:t>
      </w:r>
      <w:r>
        <w:rPr>
          <w:rFonts w:cs="Times New Roman" w:hint="eastAsia"/>
          <w:sz w:val="24"/>
          <w:szCs w:val="20"/>
        </w:rPr>
        <w:t>办理银行七天通知存款业务</w:t>
      </w:r>
      <w:r>
        <w:rPr>
          <w:rFonts w:hint="eastAsia"/>
          <w:sz w:val="24"/>
          <w:szCs w:val="24"/>
        </w:rPr>
        <w:t>的情形进行了追认。</w:t>
      </w:r>
    </w:p>
    <w:p w:rsidR="00BE740C" w:rsidRDefault="00BE740C" w:rsidP="00491310">
      <w:pPr>
        <w:adjustRightInd w:val="0"/>
        <w:snapToGrid w:val="0"/>
        <w:spacing w:line="348" w:lineRule="auto"/>
        <w:ind w:firstLineChars="200" w:firstLine="480"/>
        <w:rPr>
          <w:sz w:val="24"/>
          <w:szCs w:val="24"/>
          <w:lang w:val="en-US"/>
        </w:rPr>
      </w:pPr>
    </w:p>
    <w:p w:rsidR="00BE740C" w:rsidRDefault="00A51C12" w:rsidP="00491310">
      <w:pPr>
        <w:adjustRightInd w:val="0"/>
        <w:snapToGrid w:val="0"/>
        <w:spacing w:line="348" w:lineRule="auto"/>
        <w:ind w:firstLineChars="200" w:firstLine="480"/>
        <w:rPr>
          <w:rFonts w:ascii="黑体" w:eastAsia="黑体" w:hAnsi="黑体"/>
          <w:sz w:val="24"/>
          <w:lang w:val="en-US"/>
        </w:rPr>
      </w:pPr>
      <w:r>
        <w:rPr>
          <w:rFonts w:ascii="黑体" w:eastAsia="黑体" w:hAnsi="黑体" w:hint="eastAsia"/>
          <w:sz w:val="24"/>
          <w:lang w:val="en-US"/>
        </w:rPr>
        <w:t>五、投资对公司的影响</w:t>
      </w:r>
    </w:p>
    <w:p w:rsidR="00BE740C" w:rsidRDefault="00A51C12" w:rsidP="00491310">
      <w:pPr>
        <w:adjustRightInd w:val="0"/>
        <w:snapToGrid w:val="0"/>
        <w:spacing w:line="348" w:lineRule="auto"/>
        <w:ind w:firstLineChars="200" w:firstLine="480"/>
        <w:jc w:val="both"/>
        <w:rPr>
          <w:rFonts w:cs="Times New Roman"/>
          <w:sz w:val="24"/>
          <w:szCs w:val="20"/>
          <w:lang w:val="en-US"/>
        </w:rPr>
      </w:pPr>
      <w:r>
        <w:rPr>
          <w:rFonts w:cs="Times New Roman" w:hint="eastAsia"/>
          <w:sz w:val="24"/>
          <w:szCs w:val="20"/>
          <w:lang w:val="en-US"/>
        </w:rPr>
        <w:t>本次使用部分暂时闲置募集资金进行现金管理是在符合国家法律法规，确保不影响公司募集资金投资项目进度，有效控制投资风险的前提下进行的，不会影响公司日常经营和募集资金投资项目的正常开展</w:t>
      </w:r>
      <w:r>
        <w:rPr>
          <w:rFonts w:cs="Times New Roman"/>
          <w:sz w:val="24"/>
          <w:szCs w:val="20"/>
          <w:lang w:val="en-US"/>
        </w:rPr>
        <w:t>,</w:t>
      </w:r>
      <w:r>
        <w:rPr>
          <w:rFonts w:cs="Times New Roman" w:hint="eastAsia"/>
          <w:sz w:val="24"/>
          <w:szCs w:val="20"/>
          <w:lang w:val="en-US"/>
        </w:rPr>
        <w:t>不存在损害公司和股东利益的情形。通过对部分暂时闲置募集资金进行适度、适时的现金管理，可以提高募集资金使用效率，增加公司现金资产收益，为公司股东谋取更多的投资回报。公司前期使用部分闲置募集资金</w:t>
      </w:r>
      <w:r>
        <w:rPr>
          <w:rFonts w:cs="Times New Roman" w:hint="eastAsia"/>
          <w:sz w:val="24"/>
          <w:szCs w:val="20"/>
        </w:rPr>
        <w:t>办理银行七天通知存款业务</w:t>
      </w:r>
      <w:r>
        <w:rPr>
          <w:rFonts w:cs="Times New Roman" w:hint="eastAsia"/>
          <w:sz w:val="24"/>
          <w:szCs w:val="20"/>
          <w:lang w:val="en-US"/>
        </w:rPr>
        <w:t>，相关本金和利息均已归还至募集资金专户，以上事项未对募集资金投资项目正常进行和资金安全造成不利影响，不存在变相改变募集资金投向和损害公司利益的情形。</w:t>
      </w:r>
    </w:p>
    <w:p w:rsidR="00BE740C" w:rsidRDefault="00A51C12" w:rsidP="00491310">
      <w:pPr>
        <w:autoSpaceDE/>
        <w:autoSpaceDN/>
        <w:adjustRightInd w:val="0"/>
        <w:snapToGrid w:val="0"/>
        <w:spacing w:line="348" w:lineRule="auto"/>
        <w:ind w:firstLineChars="200" w:firstLine="480"/>
        <w:jc w:val="both"/>
        <w:rPr>
          <w:rFonts w:asciiTheme="minorEastAsia" w:hAnsiTheme="minorEastAsia"/>
          <w:sz w:val="24"/>
          <w:szCs w:val="24"/>
        </w:rPr>
      </w:pPr>
      <w:r>
        <w:rPr>
          <w:rFonts w:cs="Times New Roman" w:hint="eastAsia"/>
          <w:sz w:val="24"/>
          <w:szCs w:val="20"/>
          <w:lang w:val="en-US"/>
        </w:rPr>
        <w:t>公司将严格按照中国证券监督管理委员会及上海证券交易所关于募集资金监管措施的要求管理和使用资金，现金管理产品到期后资金将归还至募集资金专户，现金管理的所得收益归公司所有。</w:t>
      </w:r>
      <w:r>
        <w:rPr>
          <w:rFonts w:asciiTheme="minorEastAsia" w:hAnsiTheme="minorEastAsia"/>
          <w:sz w:val="24"/>
          <w:szCs w:val="24"/>
        </w:rPr>
        <w:t>根据财政部发布的金融工具准则相关规定，上述</w:t>
      </w:r>
      <w:r>
        <w:rPr>
          <w:rFonts w:asciiTheme="minorEastAsia" w:hAnsiTheme="minorEastAsia" w:hint="eastAsia"/>
          <w:sz w:val="24"/>
          <w:szCs w:val="24"/>
        </w:rPr>
        <w:t>进行现金管理将</w:t>
      </w:r>
      <w:r>
        <w:rPr>
          <w:rFonts w:asciiTheme="minorEastAsia" w:hAnsiTheme="minorEastAsia"/>
          <w:sz w:val="24"/>
          <w:szCs w:val="24"/>
        </w:rPr>
        <w:t>计入资产负债表中交易性金融资产或其他非流动金融资产，相关收益计入利润表中投资收益或公允价值变动收益,最终会计处理以会计师年度审计的结果为准。</w:t>
      </w:r>
    </w:p>
    <w:p w:rsidR="00942E2A" w:rsidRDefault="00942E2A" w:rsidP="00491310">
      <w:pPr>
        <w:autoSpaceDE/>
        <w:autoSpaceDN/>
        <w:adjustRightInd w:val="0"/>
        <w:snapToGrid w:val="0"/>
        <w:spacing w:line="348" w:lineRule="auto"/>
        <w:ind w:firstLineChars="200" w:firstLine="480"/>
        <w:jc w:val="both"/>
        <w:rPr>
          <w:rFonts w:asciiTheme="minorEastAsia" w:hAnsiTheme="minorEastAsia"/>
          <w:sz w:val="24"/>
          <w:szCs w:val="24"/>
        </w:rPr>
      </w:pPr>
    </w:p>
    <w:p w:rsidR="006E3344" w:rsidRDefault="00942E2A" w:rsidP="006E3344">
      <w:pPr>
        <w:adjustRightInd w:val="0"/>
        <w:snapToGrid w:val="0"/>
        <w:spacing w:line="348" w:lineRule="auto"/>
        <w:ind w:firstLineChars="200" w:firstLine="480"/>
        <w:rPr>
          <w:rFonts w:ascii="黑体" w:eastAsia="黑体" w:hAnsi="黑体"/>
          <w:sz w:val="24"/>
          <w:lang w:val="en-US"/>
        </w:rPr>
      </w:pPr>
      <w:r w:rsidRPr="00942E2A">
        <w:rPr>
          <w:rFonts w:ascii="黑体" w:eastAsia="黑体" w:hAnsi="黑体" w:hint="eastAsia"/>
          <w:sz w:val="24"/>
          <w:lang w:val="en-US"/>
        </w:rPr>
        <w:t>六</w:t>
      </w:r>
      <w:r w:rsidRPr="00942E2A">
        <w:rPr>
          <w:rFonts w:ascii="黑体" w:eastAsia="黑体" w:hAnsi="黑体"/>
          <w:sz w:val="24"/>
          <w:lang w:val="en-US"/>
        </w:rPr>
        <w:t>、</w:t>
      </w:r>
      <w:r w:rsidRPr="00942E2A">
        <w:rPr>
          <w:rFonts w:ascii="黑体" w:eastAsia="黑体" w:hAnsi="黑体" w:hint="eastAsia"/>
          <w:sz w:val="24"/>
          <w:lang w:val="en-US"/>
        </w:rPr>
        <w:t>监</w:t>
      </w:r>
      <w:r w:rsidRPr="00942E2A">
        <w:rPr>
          <w:rFonts w:ascii="黑体" w:eastAsia="黑体" w:hAnsi="黑体"/>
          <w:sz w:val="24"/>
          <w:lang w:val="en-US"/>
        </w:rPr>
        <w:t>事会意见</w:t>
      </w:r>
    </w:p>
    <w:p w:rsidR="00942E2A" w:rsidRPr="006E3344" w:rsidRDefault="00942E2A" w:rsidP="006E3344">
      <w:pPr>
        <w:adjustRightInd w:val="0"/>
        <w:snapToGrid w:val="0"/>
        <w:spacing w:line="348" w:lineRule="auto"/>
        <w:ind w:firstLineChars="200" w:firstLine="480"/>
        <w:rPr>
          <w:rFonts w:ascii="黑体" w:eastAsia="黑体" w:hAnsi="黑体"/>
          <w:sz w:val="24"/>
          <w:lang w:val="en-US"/>
        </w:rPr>
      </w:pPr>
      <w:bookmarkStart w:id="0" w:name="_GoBack"/>
      <w:bookmarkEnd w:id="0"/>
      <w:r>
        <w:rPr>
          <w:rFonts w:hint="eastAsia"/>
          <w:sz w:val="24"/>
        </w:rPr>
        <w:t>监</w:t>
      </w:r>
      <w:r>
        <w:rPr>
          <w:sz w:val="24"/>
        </w:rPr>
        <w:t>事会认为，</w:t>
      </w:r>
      <w:r>
        <w:rPr>
          <w:rFonts w:hint="eastAsia"/>
          <w:sz w:val="24"/>
        </w:rPr>
        <w:t>公司本次使用部分闲置募集资金购买安全性高、流动性好的投资产品，是在确保不影响公司募集资金投资项目正常建设的前提下进行的，不存在改变或者变相改变募集资金用途的情形，符合公司和全体股东的利益。同时，公司前期使用部分闲置募集资金办理七天通知存款业务，未对募集资金造成损失，未影响公司</w:t>
      </w:r>
      <w:proofErr w:type="gramStart"/>
      <w:r>
        <w:rPr>
          <w:rFonts w:hint="eastAsia"/>
          <w:sz w:val="24"/>
        </w:rPr>
        <w:t>募投项目</w:t>
      </w:r>
      <w:proofErr w:type="gramEnd"/>
      <w:r>
        <w:rPr>
          <w:rFonts w:hint="eastAsia"/>
          <w:sz w:val="24"/>
        </w:rPr>
        <w:t>的实施，有利于提高公司募集资金使用效率，不存在变相改变募集资金用途的情形。监事会一致同意《关于使用部分闲置募集资金进行现金管理及追认使用部分闲置募集资金进行现金管理的议案》。</w:t>
      </w:r>
    </w:p>
    <w:p w:rsidR="00BE740C" w:rsidRDefault="00BE740C" w:rsidP="00491310">
      <w:pPr>
        <w:pStyle w:val="a5"/>
        <w:spacing w:line="348" w:lineRule="auto"/>
      </w:pPr>
    </w:p>
    <w:p w:rsidR="00BE740C" w:rsidRDefault="00942E2A" w:rsidP="00491310">
      <w:pPr>
        <w:adjustRightInd w:val="0"/>
        <w:snapToGrid w:val="0"/>
        <w:spacing w:line="348" w:lineRule="auto"/>
        <w:ind w:firstLineChars="200" w:firstLine="480"/>
        <w:rPr>
          <w:rFonts w:ascii="黑体" w:eastAsia="黑体" w:hAnsi="黑体"/>
          <w:sz w:val="24"/>
          <w:lang w:val="en-US"/>
        </w:rPr>
      </w:pPr>
      <w:r>
        <w:rPr>
          <w:rFonts w:ascii="黑体" w:eastAsia="黑体" w:hAnsi="黑体" w:hint="eastAsia"/>
          <w:sz w:val="24"/>
          <w:lang w:val="en-US"/>
        </w:rPr>
        <w:t>七</w:t>
      </w:r>
      <w:r w:rsidR="00A51C12">
        <w:rPr>
          <w:rFonts w:ascii="黑体" w:eastAsia="黑体" w:hAnsi="黑体" w:hint="eastAsia"/>
          <w:sz w:val="24"/>
          <w:lang w:val="en-US"/>
        </w:rPr>
        <w:t>、</w:t>
      </w:r>
      <w:r w:rsidR="00CF4E9A">
        <w:rPr>
          <w:rFonts w:ascii="黑体" w:eastAsia="黑体" w:hAnsi="黑体" w:hint="eastAsia"/>
          <w:sz w:val="24"/>
          <w:lang w:val="en-US"/>
        </w:rPr>
        <w:t>中</w:t>
      </w:r>
      <w:r w:rsidR="00CF4E9A">
        <w:rPr>
          <w:rFonts w:ascii="黑体" w:eastAsia="黑体" w:hAnsi="黑体"/>
          <w:sz w:val="24"/>
          <w:lang w:val="en-US"/>
        </w:rPr>
        <w:t>介机构意见</w:t>
      </w:r>
    </w:p>
    <w:p w:rsidR="00BD509F" w:rsidRPr="00BD509F" w:rsidRDefault="00A51C12" w:rsidP="00BD509F">
      <w:pPr>
        <w:snapToGrid w:val="0"/>
        <w:spacing w:line="360" w:lineRule="auto"/>
        <w:ind w:firstLineChars="200" w:firstLine="480"/>
        <w:rPr>
          <w:rFonts w:cs="Times New Roman"/>
          <w:sz w:val="24"/>
          <w:szCs w:val="20"/>
          <w:lang w:val="en-US"/>
        </w:rPr>
      </w:pPr>
      <w:r w:rsidRPr="00BD509F">
        <w:rPr>
          <w:rFonts w:cs="Times New Roman" w:hint="eastAsia"/>
          <w:sz w:val="24"/>
          <w:szCs w:val="20"/>
          <w:lang w:val="en-US"/>
        </w:rPr>
        <w:lastRenderedPageBreak/>
        <w:t>经核查，保荐机构认为:</w:t>
      </w:r>
      <w:r w:rsidR="00BD509F" w:rsidRPr="00BD509F">
        <w:rPr>
          <w:rFonts w:cs="Times New Roman" w:hint="eastAsia"/>
          <w:sz w:val="24"/>
          <w:szCs w:val="20"/>
          <w:lang w:val="en-US"/>
        </w:rPr>
        <w:t xml:space="preserve"> 公司前期存在短期使用部分闲置募集资金办理七天通知存款业务的情形，公司已经赎回相关资金并自动回到募集资金专户，未对募集资金造成损失，未影响募集资金投资项目的建设。公司本次使用闲置募集资金进行现金管理及追认使用部分闲置募集资金进行现金管理事项已经董事会、监事会审议通过，履行了必要的审批程序，符合《上市公司监管指引第</w:t>
      </w:r>
      <w:r w:rsidR="00BD509F" w:rsidRPr="00BD509F">
        <w:rPr>
          <w:rFonts w:cs="Times New Roman"/>
          <w:sz w:val="24"/>
          <w:szCs w:val="20"/>
          <w:lang w:val="en-US"/>
        </w:rPr>
        <w:t>2号——上市公司募集资金管理和使用的监管要求》《上海证券交易所上市公司自律监管指引第</w:t>
      </w:r>
      <w:r w:rsidR="00BD509F" w:rsidRPr="00BD509F">
        <w:rPr>
          <w:rFonts w:cs="Times New Roman" w:hint="eastAsia"/>
          <w:sz w:val="24"/>
          <w:szCs w:val="20"/>
          <w:lang w:val="en-US"/>
        </w:rPr>
        <w:t>1</w:t>
      </w:r>
      <w:r w:rsidR="00BD509F" w:rsidRPr="00BD509F">
        <w:rPr>
          <w:rFonts w:cs="Times New Roman"/>
          <w:sz w:val="24"/>
          <w:szCs w:val="20"/>
          <w:lang w:val="en-US"/>
        </w:rPr>
        <w:t>号——规范运作》及等相关规定的要求。</w:t>
      </w:r>
    </w:p>
    <w:p w:rsidR="00BD509F" w:rsidRPr="00BD509F" w:rsidRDefault="00BD509F" w:rsidP="00BD509F">
      <w:pPr>
        <w:snapToGrid w:val="0"/>
        <w:spacing w:line="360" w:lineRule="auto"/>
        <w:ind w:firstLineChars="200" w:firstLine="480"/>
        <w:rPr>
          <w:rFonts w:cs="Times New Roman"/>
          <w:sz w:val="24"/>
          <w:szCs w:val="20"/>
          <w:lang w:val="en-US"/>
        </w:rPr>
      </w:pPr>
      <w:r w:rsidRPr="00BD509F">
        <w:rPr>
          <w:rFonts w:cs="Times New Roman"/>
          <w:sz w:val="24"/>
          <w:szCs w:val="20"/>
          <w:lang w:val="en-US"/>
        </w:rPr>
        <w:t>综上所述，</w:t>
      </w:r>
      <w:r w:rsidRPr="00BD509F">
        <w:rPr>
          <w:rFonts w:cs="Times New Roman" w:hint="eastAsia"/>
          <w:sz w:val="24"/>
          <w:szCs w:val="20"/>
          <w:lang w:val="en-US"/>
        </w:rPr>
        <w:t>保荐机构</w:t>
      </w:r>
      <w:r w:rsidRPr="00BD509F">
        <w:rPr>
          <w:rFonts w:cs="Times New Roman"/>
          <w:sz w:val="24"/>
          <w:szCs w:val="20"/>
          <w:lang w:val="en-US"/>
        </w:rPr>
        <w:t>对公司</w:t>
      </w:r>
      <w:r w:rsidRPr="00BD509F">
        <w:rPr>
          <w:rFonts w:cs="Times New Roman" w:hint="eastAsia"/>
          <w:sz w:val="24"/>
          <w:szCs w:val="20"/>
          <w:lang w:val="en-US"/>
        </w:rPr>
        <w:t>本次使用部分闲置募集资金进行现金管理及追认使用部分闲置募集资金进行现金管理事项</w:t>
      </w:r>
      <w:r w:rsidRPr="00BD509F">
        <w:rPr>
          <w:rFonts w:cs="Times New Roman"/>
          <w:sz w:val="24"/>
          <w:szCs w:val="20"/>
          <w:lang w:val="en-US"/>
        </w:rPr>
        <w:t>无异议。</w:t>
      </w:r>
    </w:p>
    <w:p w:rsidR="00BE740C" w:rsidRPr="00BD509F" w:rsidRDefault="00BE740C" w:rsidP="00BD509F">
      <w:pPr>
        <w:pStyle w:val="Default"/>
        <w:snapToGrid w:val="0"/>
        <w:spacing w:line="348" w:lineRule="auto"/>
        <w:ind w:right="231" w:firstLineChars="200" w:firstLine="480"/>
        <w:jc w:val="both"/>
      </w:pPr>
    </w:p>
    <w:p w:rsidR="00BE740C" w:rsidRDefault="00A51C12" w:rsidP="00491310">
      <w:pPr>
        <w:adjustRightInd w:val="0"/>
        <w:snapToGrid w:val="0"/>
        <w:spacing w:line="348" w:lineRule="auto"/>
        <w:ind w:firstLineChars="200" w:firstLine="480"/>
        <w:rPr>
          <w:rFonts w:ascii="黑体" w:eastAsia="黑体" w:hAnsi="黑体"/>
          <w:sz w:val="24"/>
          <w:lang w:val="en-US"/>
        </w:rPr>
      </w:pPr>
      <w:r>
        <w:rPr>
          <w:rFonts w:ascii="黑体" w:eastAsia="黑体" w:hAnsi="黑体" w:hint="eastAsia"/>
          <w:sz w:val="24"/>
          <w:lang w:val="en-US"/>
        </w:rPr>
        <w:t>八、备查文件</w:t>
      </w:r>
    </w:p>
    <w:p w:rsidR="00BE740C" w:rsidRDefault="00A51C12" w:rsidP="00491310">
      <w:pPr>
        <w:pStyle w:val="a5"/>
        <w:spacing w:line="348" w:lineRule="auto"/>
      </w:pPr>
      <w:r>
        <w:rPr>
          <w:rFonts w:hint="eastAsia"/>
          <w:lang w:val="en-US"/>
        </w:rPr>
        <w:t>1、</w:t>
      </w:r>
      <w:r>
        <w:t>第</w:t>
      </w:r>
      <w:r>
        <w:rPr>
          <w:rFonts w:hint="eastAsia"/>
        </w:rPr>
        <w:t>十</w:t>
      </w:r>
      <w:r>
        <w:t>届董事会第二次会议决议；</w:t>
      </w:r>
    </w:p>
    <w:p w:rsidR="00BE740C" w:rsidRDefault="00A51C12" w:rsidP="00491310">
      <w:pPr>
        <w:pStyle w:val="a5"/>
        <w:spacing w:line="348" w:lineRule="auto"/>
      </w:pPr>
      <w:r>
        <w:t>2、第</w:t>
      </w:r>
      <w:r>
        <w:rPr>
          <w:rFonts w:hint="eastAsia"/>
        </w:rPr>
        <w:t>十</w:t>
      </w:r>
      <w:r>
        <w:t>届监事会第二次会议决议；</w:t>
      </w:r>
    </w:p>
    <w:p w:rsidR="00BE740C" w:rsidRDefault="006270CE" w:rsidP="00491310">
      <w:pPr>
        <w:pStyle w:val="a5"/>
        <w:spacing w:line="348" w:lineRule="auto"/>
      </w:pPr>
      <w:r>
        <w:rPr>
          <w:rFonts w:hint="eastAsia"/>
        </w:rPr>
        <w:t>3</w:t>
      </w:r>
      <w:r w:rsidR="00A51C12">
        <w:t>、保荐机构的核查意见。</w:t>
      </w:r>
    </w:p>
    <w:p w:rsidR="00BE740C" w:rsidRDefault="00BE740C" w:rsidP="00491310">
      <w:pPr>
        <w:pStyle w:val="a5"/>
        <w:spacing w:line="348" w:lineRule="auto"/>
      </w:pPr>
    </w:p>
    <w:p w:rsidR="00BE740C" w:rsidRDefault="00BE740C" w:rsidP="00491310">
      <w:pPr>
        <w:pStyle w:val="a5"/>
        <w:spacing w:line="348" w:lineRule="auto"/>
      </w:pPr>
    </w:p>
    <w:p w:rsidR="00BE740C" w:rsidRDefault="00A51C12" w:rsidP="00491310">
      <w:pPr>
        <w:pStyle w:val="a5"/>
        <w:spacing w:line="348" w:lineRule="auto"/>
        <w:jc w:val="right"/>
      </w:pPr>
      <w:r>
        <w:rPr>
          <w:rFonts w:hint="eastAsia"/>
        </w:rPr>
        <w:t>安徽铜峰电子股份有限公司董事会</w:t>
      </w:r>
    </w:p>
    <w:p w:rsidR="00BE740C" w:rsidRDefault="00A51C12" w:rsidP="00491310">
      <w:pPr>
        <w:pStyle w:val="a5"/>
        <w:spacing w:line="348" w:lineRule="auto"/>
        <w:jc w:val="center"/>
        <w:rPr>
          <w:lang w:val="en-US"/>
        </w:rPr>
      </w:pPr>
      <w:r>
        <w:rPr>
          <w:rFonts w:hint="eastAsia"/>
          <w:lang w:val="en-US"/>
        </w:rPr>
        <w:t xml:space="preserve">                                        2024年3月19日</w:t>
      </w:r>
    </w:p>
    <w:sectPr w:rsidR="00BE740C">
      <w:pgSz w:w="11910" w:h="16840"/>
      <w:pgMar w:top="1440" w:right="1803" w:bottom="1440" w:left="18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ECCC73"/>
    <w:multiLevelType w:val="singleLevel"/>
    <w:tmpl w:val="D7ECCC73"/>
    <w:lvl w:ilvl="0">
      <w:start w:val="2"/>
      <w:numFmt w:val="chineseCounting"/>
      <w:suff w:val="nothing"/>
      <w:lvlText w:val="（%1）"/>
      <w:lvlJc w:val="left"/>
      <w:rPr>
        <w:rFonts w:hint="eastAsia"/>
      </w:rPr>
    </w:lvl>
  </w:abstractNum>
  <w:abstractNum w:abstractNumId="1" w15:restartNumberingAfterBreak="0">
    <w:nsid w:val="E036A9D5"/>
    <w:multiLevelType w:val="singleLevel"/>
    <w:tmpl w:val="E036A9D5"/>
    <w:lvl w:ilvl="0">
      <w:start w:val="3"/>
      <w:numFmt w:val="chineseCounting"/>
      <w:suff w:val="nothing"/>
      <w:lvlText w:val="（%1）"/>
      <w:lvlJc w:val="left"/>
      <w:rPr>
        <w:rFonts w:hint="eastAsia"/>
      </w:rPr>
    </w:lvl>
  </w:abstractNum>
  <w:abstractNum w:abstractNumId="2" w15:restartNumberingAfterBreak="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74646B16"/>
    <w:multiLevelType w:val="multilevel"/>
    <w:tmpl w:val="74646B16"/>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noPunctuationKerning/>
  <w:characterSpacingControl w:val="doNotCompres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zY0OWMzZmE1MjVlYmVkMTI3NWVhMmExZmNhNWEwOWMifQ=="/>
  </w:docVars>
  <w:rsids>
    <w:rsidRoot w:val="001E6C40"/>
    <w:rsid w:val="00026AE5"/>
    <w:rsid w:val="000A1DE3"/>
    <w:rsid w:val="000E6182"/>
    <w:rsid w:val="00122D33"/>
    <w:rsid w:val="00192D29"/>
    <w:rsid w:val="001A6064"/>
    <w:rsid w:val="001E6C40"/>
    <w:rsid w:val="00214BDB"/>
    <w:rsid w:val="00214ECC"/>
    <w:rsid w:val="00302EB4"/>
    <w:rsid w:val="00333175"/>
    <w:rsid w:val="00342A77"/>
    <w:rsid w:val="003A17BD"/>
    <w:rsid w:val="003A212F"/>
    <w:rsid w:val="003A3D89"/>
    <w:rsid w:val="003A7E78"/>
    <w:rsid w:val="003F6B05"/>
    <w:rsid w:val="004471A2"/>
    <w:rsid w:val="00482B4A"/>
    <w:rsid w:val="00491310"/>
    <w:rsid w:val="00551A3C"/>
    <w:rsid w:val="00564169"/>
    <w:rsid w:val="005F3D5B"/>
    <w:rsid w:val="006031E6"/>
    <w:rsid w:val="006227EE"/>
    <w:rsid w:val="006270CE"/>
    <w:rsid w:val="00664598"/>
    <w:rsid w:val="006755E0"/>
    <w:rsid w:val="006E3344"/>
    <w:rsid w:val="00733225"/>
    <w:rsid w:val="007A2972"/>
    <w:rsid w:val="007C2517"/>
    <w:rsid w:val="008031AD"/>
    <w:rsid w:val="008410BD"/>
    <w:rsid w:val="008B5F62"/>
    <w:rsid w:val="008D2894"/>
    <w:rsid w:val="00941D27"/>
    <w:rsid w:val="00942E2A"/>
    <w:rsid w:val="009B5E6C"/>
    <w:rsid w:val="00A26536"/>
    <w:rsid w:val="00A51C12"/>
    <w:rsid w:val="00A645B1"/>
    <w:rsid w:val="00A659B3"/>
    <w:rsid w:val="00AB4656"/>
    <w:rsid w:val="00AF0907"/>
    <w:rsid w:val="00B10145"/>
    <w:rsid w:val="00B52327"/>
    <w:rsid w:val="00B77E89"/>
    <w:rsid w:val="00BA537A"/>
    <w:rsid w:val="00BB4232"/>
    <w:rsid w:val="00BD509F"/>
    <w:rsid w:val="00BE740C"/>
    <w:rsid w:val="00BF1566"/>
    <w:rsid w:val="00C12F58"/>
    <w:rsid w:val="00C1362A"/>
    <w:rsid w:val="00C1702C"/>
    <w:rsid w:val="00C341C5"/>
    <w:rsid w:val="00C430E4"/>
    <w:rsid w:val="00C50D8C"/>
    <w:rsid w:val="00C53809"/>
    <w:rsid w:val="00C83EF5"/>
    <w:rsid w:val="00CF4766"/>
    <w:rsid w:val="00CF4E9A"/>
    <w:rsid w:val="00D10FC0"/>
    <w:rsid w:val="00D621F5"/>
    <w:rsid w:val="00DA79BA"/>
    <w:rsid w:val="00E106EB"/>
    <w:rsid w:val="00E12641"/>
    <w:rsid w:val="00E26EB9"/>
    <w:rsid w:val="00E422BA"/>
    <w:rsid w:val="00EB7F86"/>
    <w:rsid w:val="00EC5F33"/>
    <w:rsid w:val="00EE5AAA"/>
    <w:rsid w:val="00F10B3E"/>
    <w:rsid w:val="00F12277"/>
    <w:rsid w:val="00F31185"/>
    <w:rsid w:val="00F628DF"/>
    <w:rsid w:val="00FE56ED"/>
    <w:rsid w:val="00FE75C5"/>
    <w:rsid w:val="01581FD5"/>
    <w:rsid w:val="016250E0"/>
    <w:rsid w:val="041E4B23"/>
    <w:rsid w:val="07BB2B35"/>
    <w:rsid w:val="07E036C3"/>
    <w:rsid w:val="08A16F29"/>
    <w:rsid w:val="0A147D52"/>
    <w:rsid w:val="0ABD123A"/>
    <w:rsid w:val="0C1741FF"/>
    <w:rsid w:val="0F3375A2"/>
    <w:rsid w:val="12A52676"/>
    <w:rsid w:val="13714576"/>
    <w:rsid w:val="1394666C"/>
    <w:rsid w:val="13B7392E"/>
    <w:rsid w:val="14997C1D"/>
    <w:rsid w:val="18743D16"/>
    <w:rsid w:val="1A394628"/>
    <w:rsid w:val="1B232539"/>
    <w:rsid w:val="1BA6352A"/>
    <w:rsid w:val="1BC70AC0"/>
    <w:rsid w:val="1C9F2254"/>
    <w:rsid w:val="1CA52F36"/>
    <w:rsid w:val="1DD20BC0"/>
    <w:rsid w:val="1F666BD8"/>
    <w:rsid w:val="23AC3027"/>
    <w:rsid w:val="25A352C1"/>
    <w:rsid w:val="25E847EB"/>
    <w:rsid w:val="27C764A4"/>
    <w:rsid w:val="2AD94C02"/>
    <w:rsid w:val="2C8F5076"/>
    <w:rsid w:val="2E094608"/>
    <w:rsid w:val="2EE420FF"/>
    <w:rsid w:val="30EC0F07"/>
    <w:rsid w:val="31E54CEC"/>
    <w:rsid w:val="345F2D70"/>
    <w:rsid w:val="360533A6"/>
    <w:rsid w:val="3D6C6D1C"/>
    <w:rsid w:val="3FF83425"/>
    <w:rsid w:val="40A4584F"/>
    <w:rsid w:val="432F396C"/>
    <w:rsid w:val="448259B3"/>
    <w:rsid w:val="460D47A6"/>
    <w:rsid w:val="46EA303C"/>
    <w:rsid w:val="46FC601E"/>
    <w:rsid w:val="487702BD"/>
    <w:rsid w:val="4E1F4272"/>
    <w:rsid w:val="4F337FD5"/>
    <w:rsid w:val="50E07E5C"/>
    <w:rsid w:val="56A261EC"/>
    <w:rsid w:val="57651A10"/>
    <w:rsid w:val="5A1629CD"/>
    <w:rsid w:val="5B5419FF"/>
    <w:rsid w:val="5D922E97"/>
    <w:rsid w:val="5EA31BF4"/>
    <w:rsid w:val="5EB84FFA"/>
    <w:rsid w:val="616E6164"/>
    <w:rsid w:val="61EF70A5"/>
    <w:rsid w:val="63DA2CBD"/>
    <w:rsid w:val="648A68CB"/>
    <w:rsid w:val="69650A3D"/>
    <w:rsid w:val="6AB3446E"/>
    <w:rsid w:val="6CDD4E1F"/>
    <w:rsid w:val="6D0C0910"/>
    <w:rsid w:val="6FDE1876"/>
    <w:rsid w:val="71697A92"/>
    <w:rsid w:val="73880E53"/>
    <w:rsid w:val="743A07C2"/>
    <w:rsid w:val="749D29A1"/>
    <w:rsid w:val="777515DD"/>
    <w:rsid w:val="77A30CCA"/>
    <w:rsid w:val="77CC7FF5"/>
    <w:rsid w:val="7BB539E8"/>
    <w:rsid w:val="7BEF046F"/>
    <w:rsid w:val="7C1939CD"/>
    <w:rsid w:val="7C701FB9"/>
    <w:rsid w:val="7F9F508F"/>
    <w:rsid w:val="7FA14A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BFC1"/>
  <w15:docId w15:val="{25935905-D91C-42E3-A29E-874148E7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style>
  <w:style w:type="paragraph" w:styleId="a5">
    <w:name w:val="Body Text"/>
    <w:basedOn w:val="a"/>
    <w:autoRedefine/>
    <w:uiPriority w:val="1"/>
    <w:qFormat/>
    <w:pPr>
      <w:snapToGrid w:val="0"/>
      <w:spacing w:line="360" w:lineRule="auto"/>
      <w:ind w:firstLineChars="200" w:firstLine="480"/>
    </w:pPr>
    <w:rPr>
      <w:sz w:val="24"/>
      <w:szCs w:val="24"/>
    </w:rPr>
  </w:style>
  <w:style w:type="paragraph" w:styleId="a6">
    <w:name w:val="Balloon Text"/>
    <w:basedOn w:val="a"/>
    <w:link w:val="a7"/>
    <w:autoRedefine/>
    <w:uiPriority w:val="99"/>
    <w:semiHidden/>
    <w:unhideWhenUsed/>
    <w:qFormat/>
    <w:rPr>
      <w:sz w:val="18"/>
      <w:szCs w:val="18"/>
    </w:rPr>
  </w:style>
  <w:style w:type="paragraph" w:styleId="a8">
    <w:name w:val="footer"/>
    <w:basedOn w:val="a"/>
    <w:link w:val="a9"/>
    <w:autoRedefine/>
    <w:uiPriority w:val="99"/>
    <w:unhideWhenUsed/>
    <w:qFormat/>
    <w:pPr>
      <w:tabs>
        <w:tab w:val="center" w:pos="4153"/>
        <w:tab w:val="right" w:pos="8306"/>
      </w:tabs>
      <w:snapToGrid w:val="0"/>
    </w:pPr>
    <w:rPr>
      <w:sz w:val="18"/>
      <w:szCs w:val="1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autoRedefine/>
    <w:uiPriority w:val="99"/>
    <w:semiHidden/>
    <w:unhideWhenUsed/>
    <w:qFormat/>
    <w:rPr>
      <w:b/>
      <w:bCs/>
    </w:rPr>
  </w:style>
  <w:style w:type="character" w:styleId="ae">
    <w:name w:val="annotation reference"/>
    <w:basedOn w:val="a0"/>
    <w:autoRedefine/>
    <w:uiPriority w:val="99"/>
    <w:semiHidden/>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11">
    <w:name w:val="标题 11"/>
    <w:basedOn w:val="a"/>
    <w:autoRedefine/>
    <w:uiPriority w:val="1"/>
    <w:qFormat/>
    <w:pPr>
      <w:spacing w:before="36"/>
      <w:ind w:left="2078" w:right="2078"/>
      <w:jc w:val="center"/>
      <w:outlineLvl w:val="1"/>
    </w:pPr>
    <w:rPr>
      <w:rFonts w:ascii="Microsoft JhengHei" w:eastAsia="Microsoft JhengHei" w:hAnsi="Microsoft JhengHei" w:cs="Microsoft JhengHei"/>
      <w:b/>
      <w:bCs/>
      <w:sz w:val="30"/>
      <w:szCs w:val="30"/>
    </w:rPr>
  </w:style>
  <w:style w:type="paragraph" w:customStyle="1" w:styleId="21">
    <w:name w:val="标题 21"/>
    <w:basedOn w:val="a"/>
    <w:autoRedefine/>
    <w:uiPriority w:val="1"/>
    <w:qFormat/>
    <w:pPr>
      <w:pBdr>
        <w:top w:val="double" w:sz="4" w:space="1" w:color="000000"/>
        <w:left w:val="double" w:sz="4" w:space="4" w:color="000000"/>
        <w:bottom w:val="double" w:sz="4" w:space="1" w:color="000000"/>
        <w:right w:val="double" w:sz="4" w:space="4" w:color="000000"/>
        <w:between w:val="double" w:sz="4" w:space="1" w:color="000000"/>
      </w:pBdr>
      <w:snapToGrid w:val="0"/>
      <w:ind w:firstLineChars="200" w:firstLine="480"/>
    </w:pPr>
    <w:rPr>
      <w:rFonts w:cs="Microsoft JhengHei"/>
      <w:bCs/>
      <w:sz w:val="24"/>
      <w:szCs w:val="24"/>
      <w:lang w:val="en-US"/>
    </w:rPr>
  </w:style>
  <w:style w:type="paragraph" w:styleId="af">
    <w:name w:val="List Paragraph"/>
    <w:basedOn w:val="a"/>
    <w:autoRedefine/>
    <w:uiPriority w:val="1"/>
    <w:qFormat/>
  </w:style>
  <w:style w:type="paragraph" w:customStyle="1" w:styleId="TableParagraph">
    <w:name w:val="Table Paragraph"/>
    <w:basedOn w:val="a"/>
    <w:autoRedefine/>
    <w:uiPriority w:val="1"/>
    <w:qFormat/>
    <w:pPr>
      <w:ind w:left="148"/>
    </w:pPr>
  </w:style>
  <w:style w:type="character" w:customStyle="1" w:styleId="ab">
    <w:name w:val="页眉 字符"/>
    <w:basedOn w:val="a0"/>
    <w:link w:val="aa"/>
    <w:autoRedefine/>
    <w:uiPriority w:val="99"/>
    <w:qFormat/>
    <w:rPr>
      <w:rFonts w:ascii="宋体" w:eastAsia="宋体" w:hAnsi="宋体" w:cs="宋体"/>
      <w:sz w:val="18"/>
      <w:szCs w:val="18"/>
      <w:lang w:val="zh-CN" w:eastAsia="zh-CN" w:bidi="zh-CN"/>
    </w:rPr>
  </w:style>
  <w:style w:type="character" w:customStyle="1" w:styleId="a9">
    <w:name w:val="页脚 字符"/>
    <w:basedOn w:val="a0"/>
    <w:link w:val="a8"/>
    <w:autoRedefine/>
    <w:uiPriority w:val="99"/>
    <w:qFormat/>
    <w:rPr>
      <w:rFonts w:ascii="宋体" w:eastAsia="宋体" w:hAnsi="宋体" w:cs="宋体"/>
      <w:sz w:val="18"/>
      <w:szCs w:val="18"/>
      <w:lang w:val="zh-CN" w:eastAsia="zh-CN" w:bidi="zh-CN"/>
    </w:rPr>
  </w:style>
  <w:style w:type="character" w:customStyle="1" w:styleId="a7">
    <w:name w:val="批注框文本 字符"/>
    <w:basedOn w:val="a0"/>
    <w:link w:val="a6"/>
    <w:autoRedefine/>
    <w:uiPriority w:val="99"/>
    <w:semiHidden/>
    <w:qFormat/>
    <w:rPr>
      <w:rFonts w:ascii="宋体" w:hAnsi="宋体" w:cs="宋体"/>
      <w:sz w:val="18"/>
      <w:szCs w:val="18"/>
      <w:lang w:val="zh-CN" w:bidi="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4">
    <w:name w:val="批注文字 字符"/>
    <w:basedOn w:val="a0"/>
    <w:link w:val="a3"/>
    <w:autoRedefine/>
    <w:uiPriority w:val="99"/>
    <w:semiHidden/>
    <w:qFormat/>
    <w:rPr>
      <w:rFonts w:ascii="宋体" w:hAnsi="宋体" w:cs="宋体"/>
      <w:sz w:val="22"/>
      <w:szCs w:val="22"/>
      <w:lang w:val="zh-CN" w:bidi="zh-CN"/>
    </w:rPr>
  </w:style>
  <w:style w:type="character" w:customStyle="1" w:styleId="ad">
    <w:name w:val="批注主题 字符"/>
    <w:basedOn w:val="a4"/>
    <w:link w:val="ac"/>
    <w:autoRedefine/>
    <w:uiPriority w:val="99"/>
    <w:semiHidden/>
    <w:qFormat/>
    <w:rPr>
      <w:rFonts w:ascii="宋体" w:hAnsi="宋体" w:cs="宋体"/>
      <w:b/>
      <w:bCs/>
      <w:sz w:val="22"/>
      <w:szCs w:val="22"/>
      <w:lang w:val="zh-CN" w:bidi="zh-CN"/>
    </w:rPr>
  </w:style>
  <w:style w:type="paragraph" w:customStyle="1" w:styleId="1">
    <w:name w:val="修订1"/>
    <w:autoRedefine/>
    <w:hidden/>
    <w:uiPriority w:val="99"/>
    <w:semiHidden/>
    <w:qFormat/>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506</Words>
  <Characters>2887</Characters>
  <Application>Microsoft Office Word</Application>
  <DocSecurity>0</DocSecurity>
  <Lines>24</Lines>
  <Paragraphs>6</Paragraphs>
  <ScaleCrop>false</ScaleCrop>
  <Company>Lenovo</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李骏</cp:lastModifiedBy>
  <cp:revision>16</cp:revision>
  <dcterms:created xsi:type="dcterms:W3CDTF">2024-03-06T02:35:00Z</dcterms:created>
  <dcterms:modified xsi:type="dcterms:W3CDTF">2024-05-28T07:05:00Z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2016</vt:lpwstr>
  </property>
  <property fmtid="{D5CDD505-2E9C-101B-9397-08002B2CF9AE}" pid="4" name="LastSaved">
    <vt:filetime>2024-03-05T00:00:00Z</vt:filetime>
  </property>
  <property fmtid="{D5CDD505-2E9C-101B-9397-08002B2CF9AE}" pid="5" name="KSOProductBuildVer">
    <vt:lpwstr>2052-12.1.0.16399</vt:lpwstr>
  </property>
  <property fmtid="{D5CDD505-2E9C-101B-9397-08002B2CF9AE}" pid="6" name="ICV">
    <vt:lpwstr>711D86957B83492FAD73702CCE1AAE47_12</vt:lpwstr>
  </property>
</Properties>
</file>