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9E87D">
      <w:pPr>
        <w:autoSpaceDE w:val="0"/>
        <w:autoSpaceDN w:val="0"/>
        <w:adjustRightInd w:val="0"/>
        <w:snapToGrid w:val="0"/>
        <w:spacing w:line="360" w:lineRule="auto"/>
        <w:jc w:val="left"/>
        <w:rPr>
          <w:rFonts w:hint="eastAsia" w:ascii="黑体" w:hAnsi="Times New Roman" w:eastAsia="黑体"/>
          <w:color w:val="000000" w:themeColor="text1"/>
          <w:sz w:val="28"/>
          <w:szCs w:val="20"/>
          <w:lang w:val="en-US" w:eastAsia="zh-CN"/>
          <w14:textFill>
            <w14:solidFill>
              <w14:schemeClr w14:val="tx1"/>
            </w14:solidFill>
          </w14:textFill>
        </w:rPr>
      </w:pPr>
      <w:r>
        <w:rPr>
          <w:rFonts w:hint="eastAsia" w:ascii="黑体" w:hAnsi="Times New Roman" w:eastAsia="黑体"/>
          <w:sz w:val="28"/>
          <w:szCs w:val="20"/>
        </w:rPr>
        <w:t>证券代码：600237    证券简称： 铜峰电子   公告编号</w:t>
      </w:r>
      <w:r>
        <w:rPr>
          <w:rFonts w:hint="eastAsia" w:ascii="黑体" w:hAnsi="Times New Roman" w:eastAsia="黑体"/>
          <w:color w:val="000000" w:themeColor="text1"/>
          <w:sz w:val="28"/>
          <w:szCs w:val="20"/>
        </w:rPr>
        <w:t>：</w:t>
      </w:r>
      <w:r>
        <w:rPr>
          <w:rFonts w:hint="eastAsia" w:ascii="黑体" w:hAnsi="Times New Roman" w:eastAsia="黑体"/>
          <w:color w:val="000000" w:themeColor="text1"/>
          <w:sz w:val="28"/>
          <w:szCs w:val="20"/>
          <w14:textFill>
            <w14:solidFill>
              <w14:schemeClr w14:val="tx1"/>
            </w14:solidFill>
          </w14:textFill>
        </w:rPr>
        <w:t>2024-04</w:t>
      </w:r>
      <w:r>
        <w:rPr>
          <w:rFonts w:hint="eastAsia" w:ascii="黑体" w:hAnsi="Times New Roman" w:eastAsia="黑体"/>
          <w:color w:val="000000" w:themeColor="text1"/>
          <w:sz w:val="28"/>
          <w:szCs w:val="20"/>
          <w:lang w:val="en-US" w:eastAsia="zh-CN"/>
          <w14:textFill>
            <w14:solidFill>
              <w14:schemeClr w14:val="tx1"/>
            </w14:solidFill>
          </w14:textFill>
        </w:rPr>
        <w:t>4</w:t>
      </w:r>
    </w:p>
    <w:p w14:paraId="4E10D703">
      <w:pPr>
        <w:adjustRightInd w:val="0"/>
        <w:snapToGrid w:val="0"/>
        <w:spacing w:line="360" w:lineRule="auto"/>
        <w:jc w:val="center"/>
        <w:rPr>
          <w:rFonts w:ascii="仿宋_GB2312" w:hAnsi="宋体" w:eastAsia="仿宋_GB2312"/>
          <w:color w:val="000000"/>
          <w:sz w:val="30"/>
          <w:szCs w:val="30"/>
        </w:rPr>
      </w:pPr>
    </w:p>
    <w:p w14:paraId="030B2AA3">
      <w:pPr>
        <w:autoSpaceDE w:val="0"/>
        <w:autoSpaceDN w:val="0"/>
        <w:adjustRightInd w:val="0"/>
        <w:snapToGrid w:val="0"/>
        <w:spacing w:line="360" w:lineRule="auto"/>
        <w:jc w:val="center"/>
        <w:rPr>
          <w:rFonts w:ascii="黑体" w:hAnsi="黑体" w:eastAsia="黑体"/>
          <w:color w:val="FF0000"/>
          <w:sz w:val="36"/>
          <w:szCs w:val="36"/>
        </w:rPr>
      </w:pPr>
      <w:r>
        <w:rPr>
          <w:rFonts w:hint="eastAsia" w:ascii="黑体" w:hAnsi="黑体" w:eastAsia="黑体"/>
          <w:color w:val="FF0000"/>
          <w:sz w:val="36"/>
          <w:szCs w:val="36"/>
        </w:rPr>
        <w:t>安徽铜峰电子股份有限公司关于为全资子公司—安徽铜峰世贸进出口有限公司提供担保的进展公告</w:t>
      </w:r>
    </w:p>
    <w:p w14:paraId="79074D7A">
      <w:pPr>
        <w:autoSpaceDE w:val="0"/>
        <w:autoSpaceDN w:val="0"/>
        <w:adjustRightInd w:val="0"/>
        <w:snapToGrid w:val="0"/>
        <w:spacing w:line="360" w:lineRule="auto"/>
        <w:jc w:val="center"/>
        <w:rPr>
          <w:rFonts w:ascii="黑体" w:hAnsi="黑体" w:eastAsia="黑体"/>
          <w:color w:val="FF0000"/>
          <w:sz w:val="36"/>
          <w:szCs w:val="36"/>
        </w:rPr>
      </w:pPr>
    </w:p>
    <w:p w14:paraId="46B8F484">
      <w:pPr>
        <w:autoSpaceDE w:val="0"/>
        <w:autoSpaceDN w:val="0"/>
        <w:adjustRightInd w:val="0"/>
        <w:snapToGrid w:val="0"/>
        <w:spacing w:line="360" w:lineRule="auto"/>
        <w:ind w:firstLine="482" w:firstLineChars="200"/>
        <w:jc w:val="center"/>
        <w:rPr>
          <w:rFonts w:ascii="宋体" w:hAnsi="宋体"/>
          <w:b/>
          <w:sz w:val="24"/>
          <w:szCs w:val="20"/>
        </w:rPr>
      </w:pPr>
      <w:r>
        <w:rPr>
          <w:rFonts w:hint="eastAsia" w:ascii="宋体" w:hAnsi="宋体"/>
          <w:b/>
          <w:sz w:val="24"/>
          <w:szCs w:val="20"/>
        </w:rPr>
        <w:t>本公司董事会及全体董事保证本公告内容不存在任何虚假记载、误导性陈述或者重大遗漏，并对其内容的真实性、准确性和完整性承担法律责任。</w:t>
      </w:r>
    </w:p>
    <w:p w14:paraId="0387C5EA">
      <w:pPr>
        <w:autoSpaceDE w:val="0"/>
        <w:autoSpaceDN w:val="0"/>
        <w:adjustRightInd w:val="0"/>
        <w:snapToGrid w:val="0"/>
        <w:spacing w:line="360" w:lineRule="auto"/>
        <w:ind w:firstLine="482" w:firstLineChars="200"/>
        <w:jc w:val="center"/>
        <w:rPr>
          <w:rFonts w:ascii="宋体" w:hAnsi="宋体"/>
          <w:b/>
          <w:sz w:val="24"/>
          <w:szCs w:val="20"/>
        </w:rPr>
      </w:pPr>
    </w:p>
    <w:p w14:paraId="2C56E8BE">
      <w:pPr>
        <w:adjustRightInd w:val="0"/>
        <w:snapToGrid w:val="0"/>
        <w:spacing w:line="360" w:lineRule="auto"/>
        <w:ind w:firstLine="482" w:firstLineChars="200"/>
        <w:rPr>
          <w:rFonts w:ascii="宋体" w:hAnsi="宋体"/>
          <w:b/>
          <w:bCs/>
          <w:sz w:val="24"/>
          <w:szCs w:val="24"/>
        </w:rPr>
      </w:pPr>
      <w:r>
        <w:rPr>
          <w:rFonts w:hint="eastAsia" w:ascii="宋体" w:hAnsi="宋体"/>
          <w:b/>
          <w:bCs/>
          <w:sz w:val="24"/>
          <w:szCs w:val="24"/>
        </w:rPr>
        <w:t>重要内容提示：</w:t>
      </w:r>
    </w:p>
    <w:p w14:paraId="4F3C0A87">
      <w:pPr>
        <w:numPr>
          <w:ilvl w:val="0"/>
          <w:numId w:val="1"/>
        </w:numPr>
        <w:adjustRightInd w:val="0"/>
        <w:snapToGrid w:val="0"/>
        <w:spacing w:line="360" w:lineRule="auto"/>
        <w:rPr>
          <w:rFonts w:ascii="宋体" w:hAnsi="宋体" w:cs="宋体"/>
          <w:color w:val="000000" w:themeColor="text1"/>
          <w:sz w:val="24"/>
        </w:rPr>
      </w:pPr>
      <w:r>
        <w:rPr>
          <w:rFonts w:hint="eastAsia" w:ascii="宋体" w:hAnsi="宋体"/>
          <w:sz w:val="24"/>
          <w:szCs w:val="24"/>
        </w:rPr>
        <w:t>被担保人名称：全资子公司——安徽铜峰世贸进出口有限公司</w:t>
      </w:r>
    </w:p>
    <w:p w14:paraId="212ACC5A">
      <w:pPr>
        <w:numPr>
          <w:ilvl w:val="0"/>
          <w:numId w:val="1"/>
        </w:numPr>
        <w:adjustRightInd w:val="0"/>
        <w:snapToGrid w:val="0"/>
        <w:spacing w:line="360" w:lineRule="auto"/>
        <w:rPr>
          <w:rFonts w:ascii="宋体" w:hAnsi="宋体"/>
          <w:color w:val="000000" w:themeColor="text1"/>
          <w:sz w:val="24"/>
        </w:rPr>
      </w:pPr>
      <w:r>
        <w:rPr>
          <w:rFonts w:hint="eastAsia" w:ascii="宋体" w:hAnsi="宋体"/>
          <w:color w:val="000000" w:themeColor="text1"/>
          <w:sz w:val="24"/>
          <w:szCs w:val="24"/>
        </w:rPr>
        <w:t>本次担保金额及已实际为其提供的担保余额：本次为</w:t>
      </w:r>
      <w:r>
        <w:rPr>
          <w:rFonts w:hint="eastAsia" w:ascii="宋体" w:hAnsi="宋体"/>
          <w:color w:val="000000" w:themeColor="text1"/>
          <w:sz w:val="24"/>
        </w:rPr>
        <w:t>安徽铜峰世贸进出口有限公司在</w:t>
      </w:r>
      <w:r>
        <w:rPr>
          <w:rFonts w:hint="eastAsia" w:ascii="宋体" w:hAnsi="宋体" w:cs="宋体"/>
          <w:color w:val="000000" w:themeColor="text1"/>
          <w:sz w:val="24"/>
          <w:szCs w:val="24"/>
        </w:rPr>
        <w:t>徽商银行铜陵北京路支行</w:t>
      </w:r>
      <w:r>
        <w:rPr>
          <w:rFonts w:hint="eastAsia" w:ascii="宋体" w:hAnsi="宋体"/>
          <w:color w:val="000000" w:themeColor="text1"/>
          <w:sz w:val="24"/>
          <w:szCs w:val="24"/>
        </w:rPr>
        <w:t>申请授信人民币3,000万元以</w:t>
      </w:r>
      <w:r>
        <w:rPr>
          <w:rFonts w:hint="eastAsia" w:ascii="宋体" w:hAnsi="宋体" w:cs="宋体"/>
          <w:color w:val="000000" w:themeColor="text1"/>
          <w:sz w:val="24"/>
          <w:szCs w:val="24"/>
        </w:rPr>
        <w:t>及中国农业银行股份有限公司铜陵开发区支行</w:t>
      </w:r>
      <w:r>
        <w:rPr>
          <w:rFonts w:hint="eastAsia" w:ascii="宋体" w:hAnsi="宋体"/>
          <w:color w:val="000000" w:themeColor="text1"/>
          <w:sz w:val="24"/>
          <w:szCs w:val="24"/>
        </w:rPr>
        <w:t>申请授信人民币1,500万元提供担保。截至目前，公司为</w:t>
      </w:r>
      <w:r>
        <w:rPr>
          <w:rFonts w:hint="eastAsia" w:ascii="宋体" w:hAnsi="宋体" w:cs="宋体"/>
          <w:color w:val="000000" w:themeColor="text1"/>
          <w:sz w:val="24"/>
        </w:rPr>
        <w:t>安徽铜峰世贸进出口有限公司提供的担保余额为 9,000万元。</w:t>
      </w:r>
    </w:p>
    <w:p w14:paraId="1C2F1867">
      <w:pPr>
        <w:numPr>
          <w:ilvl w:val="0"/>
          <w:numId w:val="1"/>
        </w:numPr>
        <w:adjustRightInd w:val="0"/>
        <w:snapToGrid w:val="0"/>
        <w:spacing w:line="360" w:lineRule="auto"/>
        <w:rPr>
          <w:rFonts w:ascii="宋体" w:hAnsi="宋体"/>
          <w:color w:val="000000" w:themeColor="text1"/>
          <w:sz w:val="24"/>
          <w:szCs w:val="24"/>
        </w:rPr>
      </w:pPr>
      <w:r>
        <w:rPr>
          <w:rFonts w:hint="eastAsia" w:ascii="宋体" w:hAnsi="宋体" w:cs="宋体"/>
          <w:sz w:val="24"/>
        </w:rPr>
        <w:t>本次担保是否有反担保：无</w:t>
      </w:r>
    </w:p>
    <w:p w14:paraId="556EB6EF">
      <w:pPr>
        <w:numPr>
          <w:ilvl w:val="0"/>
          <w:numId w:val="1"/>
        </w:numPr>
        <w:adjustRightInd w:val="0"/>
        <w:snapToGrid w:val="0"/>
        <w:spacing w:line="360" w:lineRule="auto"/>
        <w:rPr>
          <w:rFonts w:ascii="宋体" w:hAnsi="宋体"/>
          <w:color w:val="000000" w:themeColor="text1"/>
          <w:sz w:val="24"/>
          <w:szCs w:val="24"/>
        </w:rPr>
      </w:pPr>
      <w:r>
        <w:rPr>
          <w:rFonts w:hint="eastAsia" w:ascii="宋体" w:hAnsi="宋体"/>
          <w:color w:val="000000" w:themeColor="text1"/>
          <w:sz w:val="24"/>
          <w:szCs w:val="24"/>
        </w:rPr>
        <w:t>对外担保总额</w:t>
      </w:r>
      <w:r>
        <w:rPr>
          <w:rFonts w:hint="eastAsia" w:ascii="宋体" w:hAnsi="宋体" w:cs="宋体"/>
          <w:color w:val="000000" w:themeColor="text1"/>
          <w:sz w:val="24"/>
        </w:rPr>
        <w:t>：9,800万元（不含本次担</w:t>
      </w:r>
      <w:r>
        <w:rPr>
          <w:rFonts w:hint="eastAsia" w:ascii="宋体" w:hAnsi="宋体"/>
          <w:color w:val="000000" w:themeColor="text1"/>
          <w:sz w:val="24"/>
          <w:szCs w:val="24"/>
        </w:rPr>
        <w:t>保）</w:t>
      </w:r>
    </w:p>
    <w:p w14:paraId="2C846B3F">
      <w:pPr>
        <w:numPr>
          <w:ilvl w:val="0"/>
          <w:numId w:val="1"/>
        </w:numPr>
        <w:adjustRightInd w:val="0"/>
        <w:snapToGrid w:val="0"/>
        <w:spacing w:line="360" w:lineRule="auto"/>
        <w:rPr>
          <w:rFonts w:ascii="宋体" w:hAnsi="宋体"/>
          <w:sz w:val="24"/>
          <w:szCs w:val="24"/>
        </w:rPr>
      </w:pPr>
      <w:r>
        <w:rPr>
          <w:rFonts w:hint="eastAsia" w:ascii="宋体" w:hAnsi="宋体"/>
          <w:color w:val="000000" w:themeColor="text1"/>
          <w:sz w:val="24"/>
          <w:szCs w:val="24"/>
        </w:rPr>
        <w:t>对外担保</w:t>
      </w:r>
      <w:r>
        <w:rPr>
          <w:rFonts w:hint="eastAsia" w:ascii="宋体" w:hAnsi="宋体"/>
          <w:sz w:val="24"/>
          <w:szCs w:val="24"/>
        </w:rPr>
        <w:t>逾期的累计数量：无</w:t>
      </w:r>
    </w:p>
    <w:p w14:paraId="5F9CF953">
      <w:pPr>
        <w:adjustRightInd w:val="0"/>
        <w:snapToGrid w:val="0"/>
        <w:spacing w:line="360" w:lineRule="auto"/>
        <w:ind w:left="900"/>
        <w:rPr>
          <w:rFonts w:ascii="宋体" w:hAnsi="宋体"/>
          <w:sz w:val="24"/>
          <w:szCs w:val="24"/>
        </w:rPr>
      </w:pPr>
    </w:p>
    <w:p w14:paraId="1BFFEACE">
      <w:pPr>
        <w:widowControl/>
        <w:adjustRightInd w:val="0"/>
        <w:snapToGrid w:val="0"/>
        <w:spacing w:line="360" w:lineRule="auto"/>
        <w:ind w:firstLine="480" w:firstLineChars="200"/>
        <w:rPr>
          <w:rFonts w:ascii="黑体" w:hAnsi="黑体" w:eastAsia="黑体"/>
          <w:bCs/>
          <w:sz w:val="24"/>
          <w:szCs w:val="24"/>
        </w:rPr>
      </w:pPr>
      <w:r>
        <w:rPr>
          <w:rFonts w:hint="eastAsia" w:ascii="黑体" w:hAnsi="黑体" w:eastAsia="黑体"/>
          <w:bCs/>
          <w:sz w:val="24"/>
          <w:szCs w:val="24"/>
        </w:rPr>
        <w:t>一、担保情况概述</w:t>
      </w:r>
    </w:p>
    <w:p w14:paraId="55770203">
      <w:pPr>
        <w:widowControl/>
        <w:adjustRightInd w:val="0"/>
        <w:snapToGrid w:val="0"/>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（一）担保基本情况</w:t>
      </w:r>
    </w:p>
    <w:p w14:paraId="2CCCEDB7">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安徽铜峰电子股份有限公司（以下简称“公司”）将为全资子公司——安徽铜峰世贸进出口有限公司（以下简称“铜峰世贸”）</w:t>
      </w:r>
      <w:r>
        <w:rPr>
          <w:rFonts w:hint="eastAsia" w:ascii="宋体" w:hAnsi="宋体" w:cs="宋体"/>
          <w:color w:val="000000" w:themeColor="text1"/>
          <w:sz w:val="24"/>
          <w:szCs w:val="24"/>
        </w:rPr>
        <w:t>在徽商银行铜陵北京路支行申请的借款提供最高额为人</w:t>
      </w:r>
      <w:r>
        <w:rPr>
          <w:rFonts w:ascii="宋体" w:hAnsi="宋体" w:cs="宋体"/>
          <w:color w:val="000000" w:themeColor="text1"/>
          <w:sz w:val="24"/>
          <w:szCs w:val="24"/>
        </w:rPr>
        <w:t>民币</w:t>
      </w:r>
      <w:r>
        <w:rPr>
          <w:rFonts w:hint="eastAsia" w:ascii="宋体" w:hAnsi="宋体" w:cs="宋体"/>
          <w:color w:val="000000" w:themeColor="text1"/>
          <w:sz w:val="24"/>
          <w:szCs w:val="24"/>
        </w:rPr>
        <w:t>3,000担保；</w:t>
      </w:r>
      <w:r>
        <w:rPr>
          <w:rFonts w:ascii="宋体" w:hAnsi="宋体" w:cs="宋体"/>
          <w:color w:val="000000" w:themeColor="text1"/>
          <w:sz w:val="24"/>
          <w:szCs w:val="24"/>
        </w:rPr>
        <w:t>在</w:t>
      </w:r>
      <w:r>
        <w:rPr>
          <w:rFonts w:hint="eastAsia" w:ascii="宋体" w:hAnsi="宋体" w:cs="宋体"/>
          <w:color w:val="000000" w:themeColor="text1"/>
          <w:sz w:val="24"/>
          <w:szCs w:val="24"/>
        </w:rPr>
        <w:t>中国农业银行股份有限公司铜陵开发区支行申请的借款提供最高额为人</w:t>
      </w:r>
      <w:r>
        <w:rPr>
          <w:rFonts w:ascii="宋体" w:hAnsi="宋体" w:cs="宋体"/>
          <w:color w:val="000000" w:themeColor="text1"/>
          <w:sz w:val="24"/>
          <w:szCs w:val="24"/>
        </w:rPr>
        <w:t>民币</w:t>
      </w:r>
      <w:r>
        <w:rPr>
          <w:rFonts w:hint="eastAsia" w:ascii="宋体" w:hAnsi="宋体" w:cs="宋体"/>
          <w:color w:val="000000" w:themeColor="text1"/>
          <w:sz w:val="24"/>
          <w:szCs w:val="24"/>
        </w:rPr>
        <w:t>1,500万元担保，担</w:t>
      </w:r>
      <w:r>
        <w:rPr>
          <w:rFonts w:hint="eastAsia" w:ascii="宋体" w:hAnsi="宋体" w:cs="宋体"/>
          <w:sz w:val="24"/>
          <w:szCs w:val="24"/>
        </w:rPr>
        <w:t>保方式为连带责任担保，担保期限为三年。</w:t>
      </w:r>
    </w:p>
    <w:p w14:paraId="25343FB9">
      <w:pPr>
        <w:widowControl/>
        <w:adjustRightInd w:val="0"/>
        <w:snapToGrid w:val="0"/>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（二）担保履行的内部程序</w:t>
      </w:r>
    </w:p>
    <w:p w14:paraId="2B6B423A">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2024年3月16日，公司召开第十届董事会第二次会议，审议通过了《关于预计2024年为全资及控股子公司提供担保额度的议案》，同意公司为全资及控股子公司提供总额度不超过人民币20,000万元的综合授信担保，以用于各子公司流动资金的周转业务品种的担保。其中同意为铜峰世贸提供不超过17,000万元担保额度（以上详见公司2024年3月19日在上海证券交易所网站以及公司指定媒体披露的相关公告）</w:t>
      </w:r>
    </w:p>
    <w:p w14:paraId="0E0A9C94">
      <w:pPr>
        <w:widowControl/>
        <w:adjustRightInd w:val="0"/>
        <w:snapToGrid w:val="0"/>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（三）担保预计基本情况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18"/>
        <w:gridCol w:w="936"/>
        <w:gridCol w:w="936"/>
        <w:gridCol w:w="911"/>
        <w:gridCol w:w="950"/>
        <w:gridCol w:w="943"/>
        <w:gridCol w:w="986"/>
        <w:gridCol w:w="693"/>
        <w:gridCol w:w="743"/>
      </w:tblGrid>
      <w:tr w14:paraId="2DB3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9A83416">
            <w:pPr>
              <w:autoSpaceDE w:val="0"/>
              <w:autoSpaceDN w:val="0"/>
              <w:adjustRightInd w:val="0"/>
              <w:snapToGrid w:val="0"/>
              <w:spacing w:line="360" w:lineRule="auto"/>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担保方</w:t>
            </w:r>
          </w:p>
        </w:tc>
        <w:tc>
          <w:tcPr>
            <w:tcW w:w="718" w:type="dxa"/>
            <w:vAlign w:val="center"/>
          </w:tcPr>
          <w:p w14:paraId="2605CFEF">
            <w:pPr>
              <w:autoSpaceDE w:val="0"/>
              <w:autoSpaceDN w:val="0"/>
              <w:adjustRightInd w:val="0"/>
              <w:snapToGrid w:val="0"/>
              <w:spacing w:line="360" w:lineRule="auto"/>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被担保方</w:t>
            </w:r>
          </w:p>
        </w:tc>
        <w:tc>
          <w:tcPr>
            <w:tcW w:w="936" w:type="dxa"/>
            <w:vAlign w:val="center"/>
          </w:tcPr>
          <w:p w14:paraId="28167DA8">
            <w:pPr>
              <w:autoSpaceDE w:val="0"/>
              <w:autoSpaceDN w:val="0"/>
              <w:adjustRightInd w:val="0"/>
              <w:snapToGrid w:val="0"/>
              <w:spacing w:line="360" w:lineRule="auto"/>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担保方</w:t>
            </w:r>
            <w:r>
              <w:rPr>
                <w:rFonts w:ascii="仿宋_GB2312" w:hAnsi="宋体" w:eastAsia="仿宋_GB2312"/>
                <w:b/>
                <w:color w:val="000000"/>
                <w:kern w:val="0"/>
                <w:sz w:val="24"/>
                <w:szCs w:val="30"/>
              </w:rPr>
              <w:t>持股比例</w:t>
            </w:r>
          </w:p>
        </w:tc>
        <w:tc>
          <w:tcPr>
            <w:tcW w:w="936" w:type="dxa"/>
            <w:vAlign w:val="center"/>
          </w:tcPr>
          <w:p w14:paraId="027434E5">
            <w:pPr>
              <w:autoSpaceDE w:val="0"/>
              <w:autoSpaceDN w:val="0"/>
              <w:adjustRightInd w:val="0"/>
              <w:snapToGrid w:val="0"/>
              <w:spacing w:line="360" w:lineRule="auto"/>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被担保方</w:t>
            </w:r>
            <w:r>
              <w:rPr>
                <w:rFonts w:ascii="仿宋_GB2312" w:hAnsi="宋体" w:eastAsia="仿宋_GB2312"/>
                <w:b/>
                <w:color w:val="000000"/>
                <w:kern w:val="0"/>
                <w:sz w:val="24"/>
                <w:szCs w:val="30"/>
              </w:rPr>
              <w:t>最近一期资产负债率</w:t>
            </w:r>
          </w:p>
        </w:tc>
        <w:tc>
          <w:tcPr>
            <w:tcW w:w="911" w:type="dxa"/>
            <w:vAlign w:val="center"/>
          </w:tcPr>
          <w:p w14:paraId="64AA0545">
            <w:pPr>
              <w:autoSpaceDE w:val="0"/>
              <w:autoSpaceDN w:val="0"/>
              <w:adjustRightInd w:val="0"/>
              <w:snapToGrid w:val="0"/>
              <w:spacing w:line="360" w:lineRule="auto"/>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截至</w:t>
            </w:r>
            <w:r>
              <w:rPr>
                <w:rFonts w:ascii="仿宋_GB2312" w:hAnsi="宋体" w:eastAsia="仿宋_GB2312"/>
                <w:b/>
                <w:color w:val="000000"/>
                <w:kern w:val="0"/>
                <w:sz w:val="24"/>
                <w:szCs w:val="30"/>
              </w:rPr>
              <w:t>目前</w:t>
            </w:r>
            <w:r>
              <w:rPr>
                <w:rFonts w:hint="eastAsia" w:ascii="仿宋_GB2312" w:hAnsi="宋体" w:eastAsia="仿宋_GB2312"/>
                <w:b/>
                <w:color w:val="000000"/>
                <w:kern w:val="0"/>
                <w:sz w:val="24"/>
                <w:szCs w:val="30"/>
              </w:rPr>
              <w:t>担保</w:t>
            </w:r>
            <w:r>
              <w:rPr>
                <w:rFonts w:ascii="仿宋_GB2312" w:hAnsi="宋体" w:eastAsia="仿宋_GB2312"/>
                <w:b/>
                <w:color w:val="000000"/>
                <w:kern w:val="0"/>
                <w:sz w:val="24"/>
                <w:szCs w:val="30"/>
              </w:rPr>
              <w:t>余额</w:t>
            </w:r>
          </w:p>
        </w:tc>
        <w:tc>
          <w:tcPr>
            <w:tcW w:w="950" w:type="dxa"/>
            <w:vAlign w:val="center"/>
          </w:tcPr>
          <w:p w14:paraId="7A034752">
            <w:pPr>
              <w:autoSpaceDE w:val="0"/>
              <w:autoSpaceDN w:val="0"/>
              <w:adjustRightInd w:val="0"/>
              <w:snapToGrid w:val="0"/>
              <w:spacing w:line="360" w:lineRule="auto"/>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本次</w:t>
            </w:r>
            <w:r>
              <w:rPr>
                <w:rFonts w:ascii="仿宋_GB2312" w:hAnsi="宋体" w:eastAsia="仿宋_GB2312"/>
                <w:b/>
                <w:color w:val="000000"/>
                <w:kern w:val="0"/>
                <w:sz w:val="24"/>
                <w:szCs w:val="30"/>
              </w:rPr>
              <w:t>新增担保额度</w:t>
            </w:r>
          </w:p>
        </w:tc>
        <w:tc>
          <w:tcPr>
            <w:tcW w:w="943" w:type="dxa"/>
            <w:vAlign w:val="center"/>
          </w:tcPr>
          <w:p w14:paraId="498E2199">
            <w:pPr>
              <w:autoSpaceDE w:val="0"/>
              <w:autoSpaceDN w:val="0"/>
              <w:adjustRightInd w:val="0"/>
              <w:snapToGrid w:val="0"/>
              <w:spacing w:line="360" w:lineRule="auto"/>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担保</w:t>
            </w:r>
            <w:r>
              <w:rPr>
                <w:rFonts w:ascii="仿宋_GB2312" w:hAnsi="宋体" w:eastAsia="仿宋_GB2312"/>
                <w:b/>
                <w:color w:val="000000"/>
                <w:kern w:val="0"/>
                <w:sz w:val="24"/>
                <w:szCs w:val="30"/>
              </w:rPr>
              <w:t>额度占上市公司最近一期净资产比例</w:t>
            </w:r>
          </w:p>
        </w:tc>
        <w:tc>
          <w:tcPr>
            <w:tcW w:w="986" w:type="dxa"/>
            <w:vAlign w:val="center"/>
          </w:tcPr>
          <w:p w14:paraId="08BA3156">
            <w:pPr>
              <w:autoSpaceDE w:val="0"/>
              <w:autoSpaceDN w:val="0"/>
              <w:adjustRightInd w:val="0"/>
              <w:snapToGrid w:val="0"/>
              <w:spacing w:line="360" w:lineRule="auto"/>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担保预计有效期</w:t>
            </w:r>
          </w:p>
        </w:tc>
        <w:tc>
          <w:tcPr>
            <w:tcW w:w="693" w:type="dxa"/>
            <w:vAlign w:val="center"/>
          </w:tcPr>
          <w:p w14:paraId="66BB3C18">
            <w:pPr>
              <w:autoSpaceDE w:val="0"/>
              <w:autoSpaceDN w:val="0"/>
              <w:adjustRightInd w:val="0"/>
              <w:snapToGrid w:val="0"/>
              <w:spacing w:line="360" w:lineRule="auto"/>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是否</w:t>
            </w:r>
            <w:r>
              <w:rPr>
                <w:rFonts w:ascii="仿宋_GB2312" w:hAnsi="宋体" w:eastAsia="仿宋_GB2312"/>
                <w:b/>
                <w:color w:val="000000"/>
                <w:kern w:val="0"/>
                <w:sz w:val="24"/>
                <w:szCs w:val="30"/>
              </w:rPr>
              <w:t>关联担保</w:t>
            </w:r>
          </w:p>
        </w:tc>
        <w:tc>
          <w:tcPr>
            <w:tcW w:w="743" w:type="dxa"/>
            <w:vAlign w:val="center"/>
          </w:tcPr>
          <w:p w14:paraId="22DED476">
            <w:pPr>
              <w:autoSpaceDE w:val="0"/>
              <w:autoSpaceDN w:val="0"/>
              <w:adjustRightInd w:val="0"/>
              <w:snapToGrid w:val="0"/>
              <w:spacing w:line="360" w:lineRule="auto"/>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是否有</w:t>
            </w:r>
            <w:r>
              <w:rPr>
                <w:rFonts w:ascii="仿宋_GB2312" w:hAnsi="宋体" w:eastAsia="仿宋_GB2312"/>
                <w:b/>
                <w:color w:val="000000"/>
                <w:kern w:val="0"/>
                <w:sz w:val="24"/>
                <w:szCs w:val="30"/>
              </w:rPr>
              <w:t>反担保</w:t>
            </w:r>
          </w:p>
        </w:tc>
      </w:tr>
      <w:tr w14:paraId="060B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2" w:type="dxa"/>
            <w:gridSpan w:val="10"/>
          </w:tcPr>
          <w:p w14:paraId="6076F810">
            <w:pPr>
              <w:autoSpaceDE w:val="0"/>
              <w:autoSpaceDN w:val="0"/>
              <w:adjustRightInd w:val="0"/>
              <w:snapToGrid w:val="0"/>
              <w:spacing w:line="360" w:lineRule="auto"/>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一、对控股子公司的担保预计</w:t>
            </w:r>
          </w:p>
        </w:tc>
      </w:tr>
      <w:tr w14:paraId="48DA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2" w:type="dxa"/>
            <w:gridSpan w:val="10"/>
          </w:tcPr>
          <w:p w14:paraId="579CA111">
            <w:pPr>
              <w:autoSpaceDE w:val="0"/>
              <w:autoSpaceDN w:val="0"/>
              <w:adjustRightInd w:val="0"/>
              <w:snapToGrid w:val="0"/>
              <w:spacing w:line="360" w:lineRule="auto"/>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资产负债率为7</w:t>
            </w:r>
            <w:r>
              <w:rPr>
                <w:rFonts w:ascii="仿宋_GB2312" w:hAnsi="宋体" w:eastAsia="仿宋_GB2312"/>
                <w:color w:val="000000"/>
                <w:kern w:val="0"/>
                <w:sz w:val="24"/>
                <w:szCs w:val="30"/>
              </w:rPr>
              <w:t>0%</w:t>
            </w:r>
            <w:r>
              <w:rPr>
                <w:rFonts w:hint="eastAsia" w:ascii="仿宋_GB2312" w:hAnsi="宋体" w:eastAsia="仿宋_GB2312"/>
                <w:color w:val="000000"/>
                <w:kern w:val="0"/>
                <w:sz w:val="24"/>
                <w:szCs w:val="30"/>
              </w:rPr>
              <w:t>以下的控股子公司</w:t>
            </w:r>
          </w:p>
        </w:tc>
      </w:tr>
      <w:tr w14:paraId="2489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7222031">
            <w:pPr>
              <w:autoSpaceDE w:val="0"/>
              <w:autoSpaceDN w:val="0"/>
              <w:adjustRightInd w:val="0"/>
              <w:snapToGrid w:val="0"/>
              <w:spacing w:line="360" w:lineRule="auto"/>
              <w:jc w:val="center"/>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铜峰电子</w:t>
            </w:r>
          </w:p>
        </w:tc>
        <w:tc>
          <w:tcPr>
            <w:tcW w:w="718" w:type="dxa"/>
            <w:vAlign w:val="center"/>
          </w:tcPr>
          <w:p w14:paraId="09C8B561">
            <w:pPr>
              <w:autoSpaceDE w:val="0"/>
              <w:autoSpaceDN w:val="0"/>
              <w:adjustRightInd w:val="0"/>
              <w:snapToGrid w:val="0"/>
              <w:spacing w:line="360" w:lineRule="auto"/>
              <w:jc w:val="center"/>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铜峰世贸</w:t>
            </w:r>
          </w:p>
        </w:tc>
        <w:tc>
          <w:tcPr>
            <w:tcW w:w="936" w:type="dxa"/>
            <w:vAlign w:val="center"/>
          </w:tcPr>
          <w:p w14:paraId="5B1300A4">
            <w:pPr>
              <w:autoSpaceDE w:val="0"/>
              <w:autoSpaceDN w:val="0"/>
              <w:adjustRightInd w:val="0"/>
              <w:snapToGrid w:val="0"/>
              <w:spacing w:line="360" w:lineRule="auto"/>
              <w:jc w:val="center"/>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100%</w:t>
            </w:r>
          </w:p>
        </w:tc>
        <w:tc>
          <w:tcPr>
            <w:tcW w:w="936" w:type="dxa"/>
            <w:vAlign w:val="center"/>
          </w:tcPr>
          <w:p w14:paraId="2753A85E">
            <w:pPr>
              <w:autoSpaceDE w:val="0"/>
              <w:autoSpaceDN w:val="0"/>
              <w:adjustRightInd w:val="0"/>
              <w:snapToGrid w:val="0"/>
              <w:spacing w:line="360" w:lineRule="auto"/>
              <w:jc w:val="center"/>
              <w:rPr>
                <w:rFonts w:ascii="仿宋_GB2312" w:hAnsi="宋体" w:eastAsia="仿宋_GB2312"/>
                <w:color w:val="FF0000"/>
                <w:kern w:val="0"/>
                <w:sz w:val="24"/>
                <w:szCs w:val="30"/>
              </w:rPr>
            </w:pPr>
            <w:r>
              <w:rPr>
                <w:rFonts w:hint="eastAsia" w:ascii="仿宋_GB2312" w:hAnsi="宋体" w:eastAsia="仿宋_GB2312"/>
                <w:color w:val="000000" w:themeColor="text1"/>
                <w:kern w:val="0"/>
                <w:sz w:val="24"/>
                <w:szCs w:val="30"/>
              </w:rPr>
              <w:t>62.55%</w:t>
            </w:r>
          </w:p>
        </w:tc>
        <w:tc>
          <w:tcPr>
            <w:tcW w:w="911" w:type="dxa"/>
            <w:vAlign w:val="center"/>
          </w:tcPr>
          <w:p w14:paraId="32A3A691">
            <w:pPr>
              <w:autoSpaceDE w:val="0"/>
              <w:autoSpaceDN w:val="0"/>
              <w:adjustRightInd w:val="0"/>
              <w:snapToGrid w:val="0"/>
              <w:spacing w:line="360" w:lineRule="auto"/>
              <w:jc w:val="center"/>
              <w:rPr>
                <w:rFonts w:ascii="仿宋_GB2312" w:hAnsi="宋体" w:eastAsia="仿宋_GB2312"/>
                <w:color w:val="FF0000"/>
                <w:kern w:val="0"/>
                <w:sz w:val="24"/>
                <w:szCs w:val="30"/>
              </w:rPr>
            </w:pPr>
            <w:r>
              <w:rPr>
                <w:rFonts w:hint="eastAsia" w:ascii="仿宋_GB2312" w:hAnsi="宋体" w:eastAsia="仿宋_GB2312"/>
                <w:color w:val="000000" w:themeColor="text1"/>
                <w:kern w:val="0"/>
                <w:sz w:val="24"/>
                <w:szCs w:val="30"/>
              </w:rPr>
              <w:t>9,000万元</w:t>
            </w:r>
          </w:p>
        </w:tc>
        <w:tc>
          <w:tcPr>
            <w:tcW w:w="950" w:type="dxa"/>
            <w:vAlign w:val="center"/>
          </w:tcPr>
          <w:p w14:paraId="20C5293D">
            <w:pPr>
              <w:autoSpaceDE w:val="0"/>
              <w:autoSpaceDN w:val="0"/>
              <w:adjustRightInd w:val="0"/>
              <w:snapToGrid w:val="0"/>
              <w:spacing w:line="360" w:lineRule="auto"/>
              <w:jc w:val="center"/>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4,500万元</w:t>
            </w:r>
          </w:p>
        </w:tc>
        <w:tc>
          <w:tcPr>
            <w:tcW w:w="943" w:type="dxa"/>
            <w:vAlign w:val="center"/>
          </w:tcPr>
          <w:p w14:paraId="6BD84085">
            <w:pPr>
              <w:autoSpaceDE w:val="0"/>
              <w:autoSpaceDN w:val="0"/>
              <w:adjustRightInd w:val="0"/>
              <w:snapToGrid w:val="0"/>
              <w:spacing w:line="360" w:lineRule="auto"/>
              <w:jc w:val="center"/>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2.63%</w:t>
            </w:r>
          </w:p>
        </w:tc>
        <w:tc>
          <w:tcPr>
            <w:tcW w:w="986" w:type="dxa"/>
            <w:vAlign w:val="center"/>
          </w:tcPr>
          <w:p w14:paraId="4233EE82">
            <w:pPr>
              <w:autoSpaceDE w:val="0"/>
              <w:autoSpaceDN w:val="0"/>
              <w:adjustRightInd w:val="0"/>
              <w:snapToGrid w:val="0"/>
              <w:spacing w:line="360" w:lineRule="auto"/>
              <w:jc w:val="center"/>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三年</w:t>
            </w:r>
          </w:p>
        </w:tc>
        <w:tc>
          <w:tcPr>
            <w:tcW w:w="693" w:type="dxa"/>
            <w:vAlign w:val="center"/>
          </w:tcPr>
          <w:p w14:paraId="6894BFDF">
            <w:pPr>
              <w:autoSpaceDE w:val="0"/>
              <w:autoSpaceDN w:val="0"/>
              <w:adjustRightInd w:val="0"/>
              <w:snapToGrid w:val="0"/>
              <w:spacing w:line="360" w:lineRule="auto"/>
              <w:jc w:val="center"/>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否</w:t>
            </w:r>
          </w:p>
        </w:tc>
        <w:tc>
          <w:tcPr>
            <w:tcW w:w="743" w:type="dxa"/>
            <w:vAlign w:val="center"/>
          </w:tcPr>
          <w:p w14:paraId="1BBBA365">
            <w:pPr>
              <w:autoSpaceDE w:val="0"/>
              <w:autoSpaceDN w:val="0"/>
              <w:adjustRightInd w:val="0"/>
              <w:snapToGrid w:val="0"/>
              <w:spacing w:line="360" w:lineRule="auto"/>
              <w:jc w:val="center"/>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否</w:t>
            </w:r>
          </w:p>
        </w:tc>
      </w:tr>
    </w:tbl>
    <w:p w14:paraId="5BB35F88">
      <w:pPr>
        <w:autoSpaceDE w:val="0"/>
        <w:autoSpaceDN w:val="0"/>
        <w:adjustRightInd w:val="0"/>
        <w:snapToGrid w:val="0"/>
        <w:spacing w:line="360" w:lineRule="auto"/>
        <w:ind w:firstLine="576" w:firstLineChars="192"/>
        <w:rPr>
          <w:rFonts w:ascii="仿宋_GB2312" w:hAnsi="宋体" w:eastAsia="仿宋_GB2312"/>
          <w:color w:val="000000"/>
          <w:kern w:val="0"/>
          <w:sz w:val="30"/>
          <w:szCs w:val="30"/>
        </w:rPr>
      </w:pPr>
    </w:p>
    <w:p w14:paraId="3FE0D19D">
      <w:pPr>
        <w:widowControl/>
        <w:adjustRightInd w:val="0"/>
        <w:snapToGrid w:val="0"/>
        <w:spacing w:line="360" w:lineRule="auto"/>
        <w:ind w:firstLine="480" w:firstLineChars="200"/>
        <w:rPr>
          <w:rFonts w:ascii="黑体" w:hAnsi="黑体" w:eastAsia="黑体"/>
          <w:bCs/>
          <w:sz w:val="24"/>
          <w:szCs w:val="24"/>
        </w:rPr>
      </w:pPr>
      <w:r>
        <w:rPr>
          <w:rFonts w:hint="eastAsia" w:ascii="黑体" w:hAnsi="黑体" w:eastAsia="黑体"/>
          <w:bCs/>
          <w:sz w:val="24"/>
          <w:szCs w:val="24"/>
        </w:rPr>
        <w:t>二、被担保人基本情况</w:t>
      </w:r>
    </w:p>
    <w:p w14:paraId="25D5B31A">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1、公司名称：安徽铜峰世贸进出口有限公司</w:t>
      </w:r>
    </w:p>
    <w:p w14:paraId="40AA268B">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2、统一社会信用代码：91340700674235201N </w:t>
      </w:r>
    </w:p>
    <w:p w14:paraId="2E686EFD">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3、注册资本：10,000 万元人民币</w:t>
      </w:r>
    </w:p>
    <w:p w14:paraId="43014915">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4、法定代表人：鲍俊华</w:t>
      </w:r>
    </w:p>
    <w:p w14:paraId="463F8B7B">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5、公司类型：有限责任公司（非自然人投资或控股的法人独资）</w:t>
      </w:r>
    </w:p>
    <w:p w14:paraId="16226FA0">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6、成立日期：2008年04月29日 </w:t>
      </w:r>
    </w:p>
    <w:p w14:paraId="49BE11C0">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7、经营范围：自营和代理各类商品和技术的进出口贸易业务，电子、化工、机械设备、汽车配件的进口、加工、补偿贸易（国家限定经营或禁止进出口商品 和技术除外，涉及许可证或专项审批的凭有效证明经营） </w:t>
      </w:r>
    </w:p>
    <w:p w14:paraId="2C8D806A">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8、住所：安徽省铜陵市翠湖三路西段399号</w:t>
      </w:r>
    </w:p>
    <w:p w14:paraId="46E32806">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9、与公司的关系：铜峰世贸是公司全资子公司，公司拥有该公司100%股权 </w:t>
      </w:r>
    </w:p>
    <w:p w14:paraId="35598F3F">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w:t>
      </w:r>
      <w:r>
        <w:rPr>
          <w:rFonts w:ascii="宋体" w:hAnsi="宋体" w:cs="宋体"/>
          <w:sz w:val="24"/>
          <w:szCs w:val="24"/>
        </w:rPr>
        <w:t>被担保人</w:t>
      </w:r>
      <w:r>
        <w:rPr>
          <w:rFonts w:hint="eastAsia" w:ascii="宋体" w:hAnsi="宋体" w:cs="宋体"/>
          <w:sz w:val="24"/>
          <w:szCs w:val="24"/>
        </w:rPr>
        <w:t>铜峰世贸</w:t>
      </w:r>
      <w:r>
        <w:rPr>
          <w:rFonts w:ascii="宋体" w:hAnsi="宋体" w:cs="宋体"/>
          <w:sz w:val="24"/>
          <w:szCs w:val="24"/>
        </w:rPr>
        <w:t>主要财务指标：</w:t>
      </w:r>
    </w:p>
    <w:p w14:paraId="620F61D6">
      <w:pPr>
        <w:widowControl/>
        <w:adjustRightInd w:val="0"/>
        <w:snapToGrid w:val="0"/>
        <w:spacing w:line="360" w:lineRule="auto"/>
        <w:ind w:left="630"/>
        <w:jc w:val="right"/>
        <w:rPr>
          <w:rFonts w:ascii="宋体" w:hAnsi="宋体" w:cs="宋体"/>
          <w:sz w:val="24"/>
          <w:szCs w:val="24"/>
        </w:rPr>
      </w:pPr>
    </w:p>
    <w:p w14:paraId="7B8EAEBE">
      <w:pPr>
        <w:widowControl/>
        <w:adjustRightInd w:val="0"/>
        <w:snapToGrid w:val="0"/>
        <w:spacing w:line="360" w:lineRule="auto"/>
        <w:ind w:left="630"/>
        <w:jc w:val="right"/>
        <w:rPr>
          <w:rFonts w:ascii="宋体" w:hAnsi="宋体" w:cs="宋体"/>
          <w:sz w:val="24"/>
          <w:szCs w:val="24"/>
        </w:rPr>
      </w:pPr>
      <w:r>
        <w:rPr>
          <w:rFonts w:hint="eastAsia" w:ascii="宋体" w:hAnsi="宋体" w:cs="宋体"/>
          <w:sz w:val="24"/>
          <w:szCs w:val="24"/>
        </w:rPr>
        <w:t>单位：万元</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3260"/>
        <w:gridCol w:w="3261"/>
      </w:tblGrid>
      <w:tr w14:paraId="2DC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vAlign w:val="center"/>
          </w:tcPr>
          <w:p w14:paraId="7E840B49">
            <w:pPr>
              <w:widowControl/>
              <w:adjustRightInd w:val="0"/>
              <w:snapToGrid w:val="0"/>
              <w:spacing w:line="360" w:lineRule="auto"/>
              <w:jc w:val="center"/>
              <w:rPr>
                <w:rFonts w:ascii="宋体" w:hAnsi="宋体" w:cs="宋体"/>
                <w:b/>
                <w:bCs/>
                <w:sz w:val="24"/>
              </w:rPr>
            </w:pPr>
            <w:r>
              <w:rPr>
                <w:rFonts w:hint="eastAsia" w:ascii="宋体" w:hAnsi="宋体" w:cs="宋体"/>
                <w:b/>
                <w:bCs/>
                <w:sz w:val="24"/>
              </w:rPr>
              <w:t>财务指标</w:t>
            </w:r>
          </w:p>
        </w:tc>
        <w:tc>
          <w:tcPr>
            <w:tcW w:w="3260" w:type="dxa"/>
            <w:shd w:val="clear" w:color="auto" w:fill="auto"/>
          </w:tcPr>
          <w:p w14:paraId="543B5338">
            <w:pPr>
              <w:adjustRightInd w:val="0"/>
              <w:snapToGrid w:val="0"/>
              <w:spacing w:line="360" w:lineRule="auto"/>
              <w:jc w:val="right"/>
              <w:rPr>
                <w:rFonts w:ascii="宋体" w:hAnsi="宋体" w:cs="宋体"/>
                <w:b/>
                <w:bCs/>
                <w:color w:val="000000" w:themeColor="text1"/>
                <w:sz w:val="24"/>
              </w:rPr>
            </w:pPr>
            <w:r>
              <w:rPr>
                <w:rFonts w:hint="eastAsia" w:ascii="宋体" w:hAnsi="宋体" w:cs="宋体"/>
                <w:b/>
                <w:bCs/>
                <w:color w:val="000000" w:themeColor="text1"/>
                <w:sz w:val="24"/>
              </w:rPr>
              <w:t>2023年12月31日</w:t>
            </w:r>
          </w:p>
        </w:tc>
        <w:tc>
          <w:tcPr>
            <w:tcW w:w="3261" w:type="dxa"/>
            <w:shd w:val="clear" w:color="auto" w:fill="auto"/>
          </w:tcPr>
          <w:p w14:paraId="7DF04E8E">
            <w:pPr>
              <w:adjustRightInd w:val="0"/>
              <w:snapToGrid w:val="0"/>
              <w:spacing w:line="360" w:lineRule="auto"/>
              <w:jc w:val="right"/>
              <w:rPr>
                <w:rFonts w:ascii="宋体" w:hAnsi="宋体" w:cs="宋体"/>
                <w:b/>
                <w:bCs/>
                <w:color w:val="000000" w:themeColor="text1"/>
                <w:sz w:val="24"/>
              </w:rPr>
            </w:pPr>
            <w:r>
              <w:rPr>
                <w:rFonts w:hint="eastAsia" w:ascii="宋体" w:hAnsi="宋体" w:cs="宋体"/>
                <w:b/>
                <w:bCs/>
                <w:color w:val="000000" w:themeColor="text1"/>
                <w:sz w:val="24"/>
              </w:rPr>
              <w:t>2024年6月30日</w:t>
            </w:r>
          </w:p>
        </w:tc>
      </w:tr>
      <w:tr w14:paraId="3A0E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4F874DD6">
            <w:pPr>
              <w:widowControl/>
              <w:adjustRightInd w:val="0"/>
              <w:snapToGrid w:val="0"/>
              <w:spacing w:line="360" w:lineRule="auto"/>
              <w:jc w:val="left"/>
              <w:rPr>
                <w:rFonts w:ascii="宋体" w:hAnsi="宋体" w:cs="宋体"/>
                <w:sz w:val="24"/>
              </w:rPr>
            </w:pPr>
            <w:r>
              <w:rPr>
                <w:rFonts w:hint="eastAsia" w:ascii="宋体" w:hAnsi="宋体" w:cs="宋体"/>
                <w:sz w:val="24"/>
              </w:rPr>
              <w:t>资产总计</w:t>
            </w:r>
          </w:p>
        </w:tc>
        <w:tc>
          <w:tcPr>
            <w:tcW w:w="3260" w:type="dxa"/>
            <w:shd w:val="clear" w:color="auto" w:fill="auto"/>
            <w:vAlign w:val="bottom"/>
          </w:tcPr>
          <w:p w14:paraId="05735BC9">
            <w:pPr>
              <w:adjustRightInd w:val="0"/>
              <w:snapToGrid w:val="0"/>
              <w:spacing w:line="360" w:lineRule="auto"/>
              <w:jc w:val="right"/>
              <w:rPr>
                <w:rFonts w:ascii="宋体" w:hAnsi="宋体" w:cs="宋体"/>
                <w:color w:val="000000" w:themeColor="text1"/>
                <w:sz w:val="24"/>
              </w:rPr>
            </w:pPr>
            <w:r>
              <w:rPr>
                <w:rFonts w:ascii="宋体" w:hAnsi="宋体" w:cs="宋体"/>
                <w:color w:val="000000" w:themeColor="text1"/>
                <w:sz w:val="24"/>
              </w:rPr>
              <w:t>21,577.17</w:t>
            </w:r>
          </w:p>
        </w:tc>
        <w:tc>
          <w:tcPr>
            <w:tcW w:w="3261" w:type="dxa"/>
            <w:shd w:val="clear" w:color="auto" w:fill="auto"/>
            <w:vAlign w:val="bottom"/>
          </w:tcPr>
          <w:p w14:paraId="378BB62B">
            <w:pPr>
              <w:adjustRightInd w:val="0"/>
              <w:snapToGrid w:val="0"/>
              <w:spacing w:line="360" w:lineRule="auto"/>
              <w:jc w:val="right"/>
              <w:rPr>
                <w:rFonts w:ascii="宋体" w:hAnsi="宋体" w:cs="宋体"/>
                <w:color w:val="000000" w:themeColor="text1"/>
                <w:sz w:val="24"/>
              </w:rPr>
            </w:pPr>
            <w:r>
              <w:rPr>
                <w:rFonts w:hint="eastAsia" w:ascii="宋体" w:hAnsi="宋体" w:cs="宋体"/>
                <w:color w:val="000000" w:themeColor="text1"/>
                <w:sz w:val="24"/>
              </w:rPr>
              <w:t>19,653.27</w:t>
            </w:r>
          </w:p>
        </w:tc>
      </w:tr>
      <w:tr w14:paraId="79BF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6D5670E9">
            <w:pPr>
              <w:widowControl/>
              <w:adjustRightInd w:val="0"/>
              <w:snapToGrid w:val="0"/>
              <w:spacing w:line="360" w:lineRule="auto"/>
              <w:rPr>
                <w:rFonts w:ascii="宋体" w:hAnsi="宋体" w:cs="宋体"/>
                <w:sz w:val="24"/>
              </w:rPr>
            </w:pPr>
            <w:r>
              <w:rPr>
                <w:rFonts w:hint="eastAsia" w:ascii="宋体" w:hAnsi="宋体" w:cs="宋体"/>
                <w:sz w:val="24"/>
              </w:rPr>
              <w:t>负债合计</w:t>
            </w:r>
          </w:p>
        </w:tc>
        <w:tc>
          <w:tcPr>
            <w:tcW w:w="3260" w:type="dxa"/>
            <w:shd w:val="clear" w:color="auto" w:fill="auto"/>
            <w:vAlign w:val="bottom"/>
          </w:tcPr>
          <w:p w14:paraId="4F29B863">
            <w:pPr>
              <w:adjustRightInd w:val="0"/>
              <w:snapToGrid w:val="0"/>
              <w:spacing w:line="360" w:lineRule="auto"/>
              <w:jc w:val="right"/>
              <w:rPr>
                <w:rFonts w:ascii="宋体" w:hAnsi="宋体" w:cs="宋体"/>
                <w:color w:val="000000" w:themeColor="text1"/>
                <w:sz w:val="24"/>
              </w:rPr>
            </w:pPr>
            <w:r>
              <w:rPr>
                <w:rFonts w:ascii="宋体" w:hAnsi="宋体" w:cs="宋体"/>
                <w:color w:val="000000" w:themeColor="text1"/>
                <w:sz w:val="24"/>
              </w:rPr>
              <w:t>13,951.16</w:t>
            </w:r>
          </w:p>
        </w:tc>
        <w:tc>
          <w:tcPr>
            <w:tcW w:w="3261" w:type="dxa"/>
            <w:shd w:val="clear" w:color="auto" w:fill="auto"/>
            <w:vAlign w:val="bottom"/>
          </w:tcPr>
          <w:p w14:paraId="0F8D88FC">
            <w:pPr>
              <w:adjustRightInd w:val="0"/>
              <w:snapToGrid w:val="0"/>
              <w:spacing w:line="360" w:lineRule="auto"/>
              <w:jc w:val="right"/>
              <w:rPr>
                <w:rFonts w:ascii="宋体" w:hAnsi="宋体" w:cs="宋体"/>
                <w:color w:val="000000" w:themeColor="text1"/>
                <w:sz w:val="24"/>
              </w:rPr>
            </w:pPr>
            <w:r>
              <w:rPr>
                <w:rFonts w:hint="eastAsia" w:ascii="宋体" w:hAnsi="宋体" w:cs="宋体"/>
                <w:color w:val="000000" w:themeColor="text1"/>
                <w:sz w:val="24"/>
              </w:rPr>
              <w:t>12,292.70</w:t>
            </w:r>
          </w:p>
        </w:tc>
      </w:tr>
      <w:tr w14:paraId="35B2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76" w:type="dxa"/>
            <w:shd w:val="clear" w:color="auto" w:fill="auto"/>
          </w:tcPr>
          <w:p w14:paraId="70731FEA">
            <w:pPr>
              <w:widowControl/>
              <w:adjustRightInd w:val="0"/>
              <w:snapToGrid w:val="0"/>
              <w:spacing w:line="360" w:lineRule="auto"/>
              <w:rPr>
                <w:rFonts w:ascii="宋体" w:hAnsi="宋体" w:cs="宋体"/>
                <w:sz w:val="24"/>
              </w:rPr>
            </w:pPr>
            <w:r>
              <w:rPr>
                <w:rFonts w:hint="eastAsia" w:ascii="宋体" w:hAnsi="宋体" w:cs="宋体"/>
                <w:sz w:val="24"/>
              </w:rPr>
              <w:t>净资产</w:t>
            </w:r>
          </w:p>
        </w:tc>
        <w:tc>
          <w:tcPr>
            <w:tcW w:w="3260" w:type="dxa"/>
            <w:shd w:val="clear" w:color="auto" w:fill="auto"/>
            <w:vAlign w:val="bottom"/>
          </w:tcPr>
          <w:p w14:paraId="259BC4CE">
            <w:pPr>
              <w:adjustRightInd w:val="0"/>
              <w:snapToGrid w:val="0"/>
              <w:spacing w:line="360" w:lineRule="auto"/>
              <w:jc w:val="right"/>
              <w:rPr>
                <w:rFonts w:ascii="宋体" w:hAnsi="宋体" w:cs="宋体"/>
                <w:color w:val="000000" w:themeColor="text1"/>
                <w:sz w:val="24"/>
              </w:rPr>
            </w:pPr>
            <w:r>
              <w:rPr>
                <w:rFonts w:ascii="宋体" w:hAnsi="宋体" w:cs="宋体"/>
                <w:color w:val="000000" w:themeColor="text1"/>
                <w:sz w:val="24"/>
              </w:rPr>
              <w:t>7,626</w:t>
            </w:r>
            <w:r>
              <w:rPr>
                <w:rFonts w:hint="eastAsia" w:ascii="宋体" w:hAnsi="宋体" w:cs="宋体"/>
                <w:color w:val="000000" w:themeColor="text1"/>
                <w:sz w:val="24"/>
              </w:rPr>
              <w:t>.00</w:t>
            </w:r>
          </w:p>
        </w:tc>
        <w:tc>
          <w:tcPr>
            <w:tcW w:w="3261" w:type="dxa"/>
            <w:shd w:val="clear" w:color="auto" w:fill="auto"/>
            <w:vAlign w:val="bottom"/>
          </w:tcPr>
          <w:p w14:paraId="0759B635">
            <w:pPr>
              <w:adjustRightInd w:val="0"/>
              <w:snapToGrid w:val="0"/>
              <w:spacing w:line="360" w:lineRule="auto"/>
              <w:jc w:val="right"/>
              <w:rPr>
                <w:rFonts w:ascii="宋体" w:hAnsi="宋体" w:cs="宋体"/>
                <w:color w:val="000000" w:themeColor="text1"/>
                <w:sz w:val="24"/>
              </w:rPr>
            </w:pPr>
            <w:r>
              <w:rPr>
                <w:rFonts w:hint="eastAsia" w:ascii="宋体" w:hAnsi="宋体" w:cs="宋体"/>
                <w:color w:val="000000" w:themeColor="text1"/>
                <w:sz w:val="24"/>
              </w:rPr>
              <w:t>7,360.56</w:t>
            </w:r>
          </w:p>
        </w:tc>
      </w:tr>
      <w:tr w14:paraId="3820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48CBC8D7">
            <w:pPr>
              <w:widowControl/>
              <w:adjustRightInd w:val="0"/>
              <w:snapToGrid w:val="0"/>
              <w:spacing w:line="360" w:lineRule="auto"/>
              <w:jc w:val="center"/>
              <w:rPr>
                <w:rFonts w:ascii="宋体" w:hAnsi="宋体" w:cs="宋体"/>
                <w:b/>
                <w:bCs/>
                <w:sz w:val="24"/>
              </w:rPr>
            </w:pPr>
            <w:r>
              <w:rPr>
                <w:rFonts w:hint="eastAsia" w:ascii="宋体" w:hAnsi="宋体" w:cs="宋体"/>
                <w:b/>
                <w:bCs/>
                <w:sz w:val="24"/>
              </w:rPr>
              <w:t>财务指标</w:t>
            </w:r>
          </w:p>
        </w:tc>
        <w:tc>
          <w:tcPr>
            <w:tcW w:w="3260" w:type="dxa"/>
            <w:shd w:val="clear" w:color="auto" w:fill="auto"/>
          </w:tcPr>
          <w:p w14:paraId="74590225">
            <w:pPr>
              <w:widowControl/>
              <w:adjustRightInd w:val="0"/>
              <w:snapToGrid w:val="0"/>
              <w:spacing w:line="360" w:lineRule="auto"/>
              <w:jc w:val="right"/>
              <w:rPr>
                <w:rFonts w:ascii="宋体" w:hAnsi="宋体" w:cs="宋体"/>
                <w:b/>
                <w:bCs/>
                <w:color w:val="000000" w:themeColor="text1"/>
                <w:sz w:val="24"/>
              </w:rPr>
            </w:pPr>
            <w:r>
              <w:rPr>
                <w:rFonts w:hint="eastAsia" w:ascii="宋体" w:hAnsi="宋体" w:cs="宋体"/>
                <w:b/>
                <w:bCs/>
                <w:color w:val="000000" w:themeColor="text1"/>
                <w:sz w:val="24"/>
              </w:rPr>
              <w:t>2023年1-12月</w:t>
            </w:r>
          </w:p>
        </w:tc>
        <w:tc>
          <w:tcPr>
            <w:tcW w:w="3261" w:type="dxa"/>
            <w:shd w:val="clear" w:color="auto" w:fill="auto"/>
          </w:tcPr>
          <w:p w14:paraId="3202C8E7">
            <w:pPr>
              <w:widowControl/>
              <w:adjustRightInd w:val="0"/>
              <w:snapToGrid w:val="0"/>
              <w:spacing w:line="360" w:lineRule="auto"/>
              <w:jc w:val="right"/>
              <w:rPr>
                <w:rFonts w:ascii="宋体" w:hAnsi="宋体" w:cs="宋体"/>
                <w:b/>
                <w:bCs/>
                <w:color w:val="000000" w:themeColor="text1"/>
                <w:sz w:val="24"/>
              </w:rPr>
            </w:pPr>
            <w:r>
              <w:rPr>
                <w:rFonts w:hint="eastAsia" w:ascii="宋体" w:hAnsi="宋体" w:cs="宋体"/>
                <w:b/>
                <w:bCs/>
                <w:color w:val="000000" w:themeColor="text1"/>
                <w:sz w:val="24"/>
              </w:rPr>
              <w:t>2024年1-6月</w:t>
            </w:r>
          </w:p>
        </w:tc>
      </w:tr>
      <w:tr w14:paraId="1473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19BB07F4">
            <w:pPr>
              <w:widowControl/>
              <w:adjustRightInd w:val="0"/>
              <w:snapToGrid w:val="0"/>
              <w:spacing w:line="360" w:lineRule="auto"/>
              <w:rPr>
                <w:rFonts w:ascii="宋体" w:hAnsi="宋体" w:cs="宋体"/>
                <w:sz w:val="24"/>
              </w:rPr>
            </w:pPr>
            <w:r>
              <w:rPr>
                <w:rFonts w:hint="eastAsia" w:ascii="宋体" w:hAnsi="宋体" w:cs="宋体"/>
                <w:sz w:val="24"/>
              </w:rPr>
              <w:t>营业收入</w:t>
            </w:r>
          </w:p>
        </w:tc>
        <w:tc>
          <w:tcPr>
            <w:tcW w:w="3260" w:type="dxa"/>
            <w:shd w:val="clear" w:color="auto" w:fill="auto"/>
            <w:vAlign w:val="center"/>
          </w:tcPr>
          <w:p w14:paraId="2A318430">
            <w:pPr>
              <w:widowControl/>
              <w:adjustRightInd w:val="0"/>
              <w:snapToGrid w:val="0"/>
              <w:spacing w:line="360" w:lineRule="auto"/>
              <w:jc w:val="right"/>
              <w:rPr>
                <w:rFonts w:ascii="宋体" w:hAnsi="宋体" w:cs="宋体"/>
                <w:b/>
                <w:bCs/>
                <w:color w:val="000000" w:themeColor="text1"/>
                <w:sz w:val="24"/>
              </w:rPr>
            </w:pPr>
            <w:r>
              <w:rPr>
                <w:rFonts w:ascii="宋体" w:hAnsi="宋体" w:cs="宋体"/>
                <w:sz w:val="24"/>
              </w:rPr>
              <w:t>25,089.83</w:t>
            </w:r>
          </w:p>
        </w:tc>
        <w:tc>
          <w:tcPr>
            <w:tcW w:w="3261" w:type="dxa"/>
            <w:shd w:val="clear" w:color="auto" w:fill="auto"/>
            <w:vAlign w:val="center"/>
          </w:tcPr>
          <w:p w14:paraId="2B6EC2FF">
            <w:pPr>
              <w:widowControl/>
              <w:adjustRightInd w:val="0"/>
              <w:snapToGrid w:val="0"/>
              <w:spacing w:line="360" w:lineRule="auto"/>
              <w:jc w:val="right"/>
              <w:rPr>
                <w:rFonts w:ascii="宋体" w:hAnsi="宋体" w:cs="宋体"/>
                <w:color w:val="000000" w:themeColor="text1"/>
                <w:sz w:val="24"/>
              </w:rPr>
            </w:pPr>
            <w:r>
              <w:rPr>
                <w:rFonts w:hint="eastAsia" w:ascii="宋体" w:hAnsi="宋体" w:cs="宋体"/>
                <w:color w:val="000000" w:themeColor="text1"/>
                <w:sz w:val="24"/>
              </w:rPr>
              <w:t>15,160.48</w:t>
            </w:r>
          </w:p>
        </w:tc>
      </w:tr>
      <w:tr w14:paraId="08DB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7D5BA20A">
            <w:pPr>
              <w:widowControl/>
              <w:adjustRightInd w:val="0"/>
              <w:snapToGrid w:val="0"/>
              <w:spacing w:line="360" w:lineRule="auto"/>
              <w:rPr>
                <w:rFonts w:ascii="宋体" w:hAnsi="宋体" w:cs="宋体"/>
                <w:sz w:val="24"/>
              </w:rPr>
            </w:pPr>
            <w:r>
              <w:rPr>
                <w:rFonts w:hint="eastAsia" w:ascii="宋体" w:hAnsi="宋体" w:cs="宋体"/>
                <w:sz w:val="24"/>
              </w:rPr>
              <w:t>净利润</w:t>
            </w:r>
          </w:p>
        </w:tc>
        <w:tc>
          <w:tcPr>
            <w:tcW w:w="3260" w:type="dxa"/>
            <w:shd w:val="clear" w:color="auto" w:fill="auto"/>
            <w:vAlign w:val="center"/>
          </w:tcPr>
          <w:p w14:paraId="34431FCE">
            <w:pPr>
              <w:widowControl/>
              <w:adjustRightInd w:val="0"/>
              <w:snapToGrid w:val="0"/>
              <w:spacing w:line="360" w:lineRule="auto"/>
              <w:jc w:val="right"/>
              <w:rPr>
                <w:rFonts w:ascii="宋体" w:hAnsi="宋体" w:cs="宋体"/>
                <w:color w:val="000000" w:themeColor="text1"/>
                <w:sz w:val="24"/>
              </w:rPr>
            </w:pPr>
            <w:r>
              <w:rPr>
                <w:rFonts w:ascii="宋体" w:hAnsi="宋体" w:cs="宋体"/>
                <w:color w:val="000000" w:themeColor="text1"/>
                <w:sz w:val="24"/>
              </w:rPr>
              <w:t>144.79</w:t>
            </w:r>
          </w:p>
        </w:tc>
        <w:tc>
          <w:tcPr>
            <w:tcW w:w="3261" w:type="dxa"/>
            <w:shd w:val="clear" w:color="auto" w:fill="auto"/>
            <w:vAlign w:val="center"/>
          </w:tcPr>
          <w:p w14:paraId="28ED9ED6">
            <w:pPr>
              <w:widowControl/>
              <w:adjustRightInd w:val="0"/>
              <w:snapToGrid w:val="0"/>
              <w:spacing w:line="360" w:lineRule="auto"/>
              <w:jc w:val="right"/>
              <w:rPr>
                <w:rFonts w:ascii="宋体" w:hAnsi="宋体" w:cs="宋体"/>
                <w:color w:val="000000" w:themeColor="text1"/>
                <w:sz w:val="24"/>
              </w:rPr>
            </w:pPr>
            <w:r>
              <w:rPr>
                <w:rFonts w:hint="eastAsia" w:ascii="宋体" w:hAnsi="宋体" w:cs="宋体"/>
                <w:color w:val="000000" w:themeColor="text1"/>
                <w:sz w:val="24"/>
              </w:rPr>
              <w:t>-267.76</w:t>
            </w:r>
          </w:p>
        </w:tc>
      </w:tr>
    </w:tbl>
    <w:p w14:paraId="66820689">
      <w:pPr>
        <w:widowControl/>
        <w:adjustRightInd w:val="0"/>
        <w:snapToGrid w:val="0"/>
        <w:spacing w:line="360" w:lineRule="auto"/>
        <w:rPr>
          <w:rFonts w:ascii="黑体" w:hAnsi="黑体" w:eastAsia="黑体"/>
          <w:bCs/>
          <w:sz w:val="24"/>
          <w:szCs w:val="24"/>
        </w:rPr>
      </w:pPr>
    </w:p>
    <w:p w14:paraId="4EAF58F4">
      <w:pPr>
        <w:widowControl/>
        <w:adjustRightInd w:val="0"/>
        <w:snapToGrid w:val="0"/>
        <w:spacing w:line="360" w:lineRule="auto"/>
        <w:ind w:firstLine="480" w:firstLineChars="200"/>
        <w:rPr>
          <w:rFonts w:ascii="黑体" w:hAnsi="黑体" w:eastAsia="黑体"/>
          <w:bCs/>
          <w:sz w:val="24"/>
          <w:szCs w:val="24"/>
        </w:rPr>
      </w:pPr>
      <w:r>
        <w:rPr>
          <w:rFonts w:hint="eastAsia" w:ascii="黑体" w:hAnsi="黑体" w:eastAsia="黑体"/>
          <w:bCs/>
          <w:sz w:val="24"/>
          <w:szCs w:val="24"/>
        </w:rPr>
        <w:t>三、担保协议的主要内容</w:t>
      </w:r>
    </w:p>
    <w:p w14:paraId="3E423CE7">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1、保证人名称：安徽铜峰电子股份有限公司</w:t>
      </w:r>
    </w:p>
    <w:p w14:paraId="50269F43">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2、债权人名称：徽商银行铜陵北京路支行；中国农业银行股份有限公司铜陵开发区支行</w:t>
      </w:r>
    </w:p>
    <w:p w14:paraId="755564C4">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3、债务人名称：安徽铜峰世贸进出口有限公司</w:t>
      </w:r>
    </w:p>
    <w:p w14:paraId="5FA1BCC0">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4、担保方式：连带责任担保</w:t>
      </w:r>
    </w:p>
    <w:p w14:paraId="3528E7FD">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5、担保期限：三年</w:t>
      </w:r>
    </w:p>
    <w:p w14:paraId="74BDECFE">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6、担保金额：3,000万元人民币；1,500万元人民币</w:t>
      </w:r>
    </w:p>
    <w:p w14:paraId="625C8A09">
      <w:pPr>
        <w:widowControl/>
        <w:adjustRightInd w:val="0"/>
        <w:snapToGrid w:val="0"/>
        <w:spacing w:line="360" w:lineRule="auto"/>
        <w:ind w:firstLine="480" w:firstLineChars="200"/>
        <w:rPr>
          <w:rFonts w:ascii="黑体" w:hAnsi="黑体" w:eastAsia="黑体"/>
          <w:bCs/>
          <w:sz w:val="24"/>
          <w:szCs w:val="24"/>
        </w:rPr>
      </w:pPr>
      <w:r>
        <w:rPr>
          <w:rFonts w:hint="eastAsia" w:ascii="宋体" w:hAnsi="宋体" w:cs="宋体"/>
          <w:sz w:val="24"/>
          <w:szCs w:val="24"/>
        </w:rPr>
        <w:t>7、保证范围：包括本金、利息、罚息、复利、违约金、损害赔偿金等。</w:t>
      </w:r>
    </w:p>
    <w:p w14:paraId="1DF42017">
      <w:pPr>
        <w:widowControl/>
        <w:adjustRightInd w:val="0"/>
        <w:snapToGrid w:val="0"/>
        <w:spacing w:line="360" w:lineRule="auto"/>
        <w:ind w:firstLine="480" w:firstLineChars="200"/>
        <w:rPr>
          <w:rFonts w:ascii="黑体" w:hAnsi="黑体" w:eastAsia="黑体"/>
          <w:bCs/>
          <w:sz w:val="24"/>
          <w:szCs w:val="24"/>
        </w:rPr>
      </w:pPr>
    </w:p>
    <w:p w14:paraId="1079E580">
      <w:pPr>
        <w:widowControl/>
        <w:adjustRightInd w:val="0"/>
        <w:snapToGrid w:val="0"/>
        <w:spacing w:line="360" w:lineRule="auto"/>
        <w:ind w:firstLine="480" w:firstLineChars="200"/>
        <w:rPr>
          <w:rFonts w:ascii="黑体" w:hAnsi="黑体" w:eastAsia="黑体"/>
          <w:bCs/>
          <w:sz w:val="24"/>
          <w:szCs w:val="24"/>
        </w:rPr>
      </w:pPr>
      <w:r>
        <w:rPr>
          <w:rFonts w:hint="eastAsia" w:ascii="黑体" w:hAnsi="黑体" w:eastAsia="黑体"/>
          <w:bCs/>
          <w:sz w:val="24"/>
          <w:szCs w:val="24"/>
        </w:rPr>
        <w:t>四、担保的必要性和合理性</w:t>
      </w:r>
    </w:p>
    <w:p w14:paraId="16CCBADF">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本次担保系为满足子公司的生产经营及补充流动资金，符合公司整体利益及发展战略，且担保对象为公司全资子公司，相关担保风险可以控制。</w:t>
      </w:r>
    </w:p>
    <w:p w14:paraId="746AAD2D">
      <w:pPr>
        <w:widowControl/>
        <w:adjustRightInd w:val="0"/>
        <w:snapToGrid w:val="0"/>
        <w:spacing w:line="360" w:lineRule="auto"/>
        <w:ind w:firstLine="480" w:firstLineChars="200"/>
        <w:rPr>
          <w:rFonts w:ascii="宋体" w:hAnsi="宋体" w:cs="宋体"/>
          <w:sz w:val="24"/>
          <w:szCs w:val="24"/>
        </w:rPr>
      </w:pPr>
    </w:p>
    <w:p w14:paraId="773E0A40">
      <w:pPr>
        <w:widowControl/>
        <w:adjustRightInd w:val="0"/>
        <w:snapToGrid w:val="0"/>
        <w:spacing w:line="360" w:lineRule="auto"/>
        <w:ind w:firstLine="480" w:firstLineChars="200"/>
        <w:rPr>
          <w:rFonts w:ascii="黑体" w:hAnsi="黑体" w:eastAsia="黑体"/>
          <w:bCs/>
          <w:sz w:val="24"/>
          <w:szCs w:val="24"/>
        </w:rPr>
      </w:pPr>
      <w:r>
        <w:rPr>
          <w:rFonts w:hint="eastAsia" w:ascii="黑体" w:hAnsi="黑体" w:eastAsia="黑体"/>
          <w:bCs/>
          <w:sz w:val="24"/>
          <w:szCs w:val="24"/>
        </w:rPr>
        <w:t>五、董事会意见</w:t>
      </w:r>
    </w:p>
    <w:p w14:paraId="1FEAED8C">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董事会认为：全资子公司铜峰世贸目前主要负责公司进出口业务，代理公司生产所需原材料、设备配件的进口以及产品的出口业务。本次为铜峰世贸提供担保，将主要用于满足该公司在代理公司相关进出口业务中对资金需求，以保障公司生产经营的需要,有利于公司生产经营的平稳运行。铜峰世贸为公司的全资子公司，相关担保风险可以控制。</w:t>
      </w:r>
    </w:p>
    <w:p w14:paraId="47846080">
      <w:pPr>
        <w:widowControl/>
        <w:adjustRightInd w:val="0"/>
        <w:snapToGrid w:val="0"/>
        <w:spacing w:line="360" w:lineRule="auto"/>
        <w:ind w:firstLine="600"/>
        <w:rPr>
          <w:rFonts w:ascii="宋体" w:hAnsi="宋体" w:cs="宋体"/>
          <w:sz w:val="24"/>
          <w:szCs w:val="24"/>
        </w:rPr>
      </w:pPr>
    </w:p>
    <w:p w14:paraId="407EF93B">
      <w:pPr>
        <w:widowControl/>
        <w:adjustRightInd w:val="0"/>
        <w:snapToGrid w:val="0"/>
        <w:spacing w:line="360" w:lineRule="auto"/>
        <w:ind w:firstLine="480" w:firstLineChars="200"/>
        <w:rPr>
          <w:rFonts w:ascii="黑体" w:hAnsi="黑体" w:eastAsia="黑体"/>
          <w:bCs/>
          <w:sz w:val="24"/>
          <w:szCs w:val="24"/>
        </w:rPr>
      </w:pPr>
      <w:r>
        <w:rPr>
          <w:rFonts w:hint="eastAsia" w:ascii="黑体" w:hAnsi="黑体" w:eastAsia="黑体"/>
          <w:bCs/>
          <w:sz w:val="24"/>
          <w:szCs w:val="24"/>
        </w:rPr>
        <w:t>六、累计对外担保数量及逾期担保的数量</w:t>
      </w:r>
    </w:p>
    <w:p w14:paraId="2627A713">
      <w:pPr>
        <w:widowControl/>
        <w:adjustRightInd w:val="0"/>
        <w:snapToGrid w:val="0"/>
        <w:spacing w:line="360" w:lineRule="auto"/>
        <w:ind w:firstLine="480" w:firstLineChars="200"/>
        <w:rPr>
          <w:rFonts w:ascii="宋体" w:hAnsi="宋体"/>
          <w:sz w:val="24"/>
          <w:szCs w:val="24"/>
        </w:rPr>
      </w:pPr>
      <w:r>
        <w:rPr>
          <w:rFonts w:hint="eastAsia" w:ascii="宋体" w:hAnsi="宋体" w:cs="宋体"/>
          <w:sz w:val="24"/>
          <w:szCs w:val="24"/>
        </w:rPr>
        <w:t>截至目前，公司累计对外担保总额</w:t>
      </w:r>
      <w:r>
        <w:rPr>
          <w:rFonts w:hint="eastAsia" w:ascii="宋体" w:hAnsi="宋体" w:cs="宋体"/>
          <w:color w:val="000000" w:themeColor="text1"/>
          <w:sz w:val="24"/>
          <w:szCs w:val="24"/>
        </w:rPr>
        <w:t>为9,800万元人民币（不含本次担保），占公司2023年度经审计净资产的5.74%，以</w:t>
      </w:r>
      <w:r>
        <w:rPr>
          <w:rFonts w:hint="eastAsia" w:ascii="宋体" w:hAnsi="宋体" w:cs="宋体"/>
          <w:sz w:val="24"/>
          <w:szCs w:val="24"/>
        </w:rPr>
        <w:t>上担保全部系对控股子公司的担保。公司无逾期对外担保。</w:t>
      </w:r>
    </w:p>
    <w:p w14:paraId="1B36BA06">
      <w:pPr>
        <w:widowControl/>
        <w:adjustRightInd w:val="0"/>
        <w:snapToGrid w:val="0"/>
        <w:spacing w:line="360" w:lineRule="auto"/>
        <w:ind w:firstLine="600"/>
        <w:rPr>
          <w:rFonts w:ascii="仿宋_GB2312" w:hAnsi="宋体" w:eastAsia="仿宋_GB2312" w:cs="宋体-WinCharSetFFFF-H"/>
          <w:color w:val="000000"/>
          <w:kern w:val="0"/>
          <w:sz w:val="30"/>
          <w:szCs w:val="30"/>
        </w:rPr>
      </w:pPr>
      <w:r>
        <w:rPr>
          <w:rFonts w:hint="eastAsia" w:ascii="宋体" w:hAnsi="宋体"/>
          <w:sz w:val="24"/>
          <w:szCs w:val="24"/>
        </w:rPr>
        <w:t>特此公告。</w:t>
      </w:r>
    </w:p>
    <w:p w14:paraId="4CB7EDED">
      <w:pPr>
        <w:autoSpaceDE w:val="0"/>
        <w:autoSpaceDN w:val="0"/>
        <w:adjustRightInd w:val="0"/>
        <w:snapToGrid w:val="0"/>
        <w:spacing w:line="360" w:lineRule="auto"/>
        <w:jc w:val="left"/>
        <w:rPr>
          <w:rFonts w:ascii="仿宋_GB2312" w:hAnsi="宋体" w:eastAsia="仿宋_GB2312" w:cs="宋体-WinCharSetFFFF-H"/>
          <w:color w:val="000000"/>
          <w:kern w:val="0"/>
          <w:sz w:val="30"/>
          <w:szCs w:val="30"/>
        </w:rPr>
      </w:pPr>
    </w:p>
    <w:p w14:paraId="0A8A724D">
      <w:pPr>
        <w:autoSpaceDE w:val="0"/>
        <w:autoSpaceDN w:val="0"/>
        <w:adjustRightInd w:val="0"/>
        <w:snapToGrid w:val="0"/>
        <w:spacing w:line="360" w:lineRule="auto"/>
        <w:jc w:val="left"/>
        <w:rPr>
          <w:rFonts w:ascii="仿宋_GB2312" w:hAnsi="宋体" w:eastAsia="仿宋_GB2312" w:cs="宋体-WinCharSetFFFF-H"/>
          <w:color w:val="000000"/>
          <w:kern w:val="0"/>
          <w:sz w:val="30"/>
          <w:szCs w:val="30"/>
        </w:rPr>
      </w:pPr>
    </w:p>
    <w:p w14:paraId="70C9203E">
      <w:pPr>
        <w:widowControl/>
        <w:adjustRightInd w:val="0"/>
        <w:snapToGrid w:val="0"/>
        <w:spacing w:line="360" w:lineRule="auto"/>
        <w:ind w:firstLine="60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安徽铜峰电子股份有限公司董事会</w:t>
      </w:r>
    </w:p>
    <w:p w14:paraId="4DEF1C70">
      <w:pPr>
        <w:widowControl/>
        <w:adjustRightInd w:val="0"/>
        <w:snapToGrid w:val="0"/>
        <w:spacing w:line="360" w:lineRule="auto"/>
        <w:ind w:right="480" w:firstLine="600"/>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sz w:val="24"/>
          <w:szCs w:val="24"/>
        </w:rPr>
        <w:t xml:space="preserve">                                </w:t>
      </w:r>
      <w:r>
        <w:rPr>
          <w:rFonts w:hint="eastAsia" w:cs="宋体" w:asciiTheme="minorEastAsia" w:hAnsiTheme="minorEastAsia" w:eastAsiaTheme="minorEastAsia"/>
          <w:color w:val="FF0000"/>
          <w:sz w:val="24"/>
          <w:szCs w:val="24"/>
        </w:rPr>
        <w:t xml:space="preserve">        </w:t>
      </w:r>
      <w:bookmarkStart w:id="0" w:name="_GoBack"/>
      <w:r>
        <w:rPr>
          <w:rFonts w:hint="eastAsia" w:cs="宋体" w:asciiTheme="minorEastAsia" w:hAnsiTheme="minorEastAsia" w:eastAsiaTheme="minorEastAsia"/>
          <w:color w:val="000000" w:themeColor="text1"/>
          <w:sz w:val="24"/>
          <w:szCs w:val="24"/>
          <w14:textFill>
            <w14:solidFill>
              <w14:schemeClr w14:val="tx1"/>
            </w14:solidFill>
          </w14:textFill>
        </w:rPr>
        <w:t xml:space="preserve">  2024年10月16日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宋体-WinCharSetFFFF-H">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37F28"/>
    <w:multiLevelType w:val="multilevel"/>
    <w:tmpl w:val="20D37F2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YyMjEzNmY3YWYwZGUzN2JjNTcxYjdmNzY2ZmY0NTUifQ=="/>
  </w:docVars>
  <w:rsids>
    <w:rsidRoot w:val="00BF2ECD"/>
    <w:rsid w:val="00000558"/>
    <w:rsid w:val="00000BC9"/>
    <w:rsid w:val="000040C9"/>
    <w:rsid w:val="00037429"/>
    <w:rsid w:val="00044B7A"/>
    <w:rsid w:val="00050D8C"/>
    <w:rsid w:val="00051D15"/>
    <w:rsid w:val="00060DFA"/>
    <w:rsid w:val="00064333"/>
    <w:rsid w:val="000671F4"/>
    <w:rsid w:val="0007156E"/>
    <w:rsid w:val="000764C3"/>
    <w:rsid w:val="00082408"/>
    <w:rsid w:val="00095674"/>
    <w:rsid w:val="000B677B"/>
    <w:rsid w:val="000C346C"/>
    <w:rsid w:val="000E766F"/>
    <w:rsid w:val="000F447F"/>
    <w:rsid w:val="0011270F"/>
    <w:rsid w:val="00115696"/>
    <w:rsid w:val="00124FA5"/>
    <w:rsid w:val="00125C8C"/>
    <w:rsid w:val="00126188"/>
    <w:rsid w:val="0013045A"/>
    <w:rsid w:val="00130A6A"/>
    <w:rsid w:val="001335CF"/>
    <w:rsid w:val="001368F4"/>
    <w:rsid w:val="00141CBF"/>
    <w:rsid w:val="001619B6"/>
    <w:rsid w:val="00161C50"/>
    <w:rsid w:val="001631B1"/>
    <w:rsid w:val="00177222"/>
    <w:rsid w:val="00186A65"/>
    <w:rsid w:val="001903B0"/>
    <w:rsid w:val="001947B0"/>
    <w:rsid w:val="001B1F98"/>
    <w:rsid w:val="001B5730"/>
    <w:rsid w:val="001C165F"/>
    <w:rsid w:val="001D0405"/>
    <w:rsid w:val="001D3394"/>
    <w:rsid w:val="001E1D4F"/>
    <w:rsid w:val="001E7562"/>
    <w:rsid w:val="001F0293"/>
    <w:rsid w:val="001F3BAD"/>
    <w:rsid w:val="002032FC"/>
    <w:rsid w:val="00207506"/>
    <w:rsid w:val="002114BE"/>
    <w:rsid w:val="00224E96"/>
    <w:rsid w:val="00243B6A"/>
    <w:rsid w:val="00246976"/>
    <w:rsid w:val="00256F3B"/>
    <w:rsid w:val="00263844"/>
    <w:rsid w:val="00272D61"/>
    <w:rsid w:val="00277E7B"/>
    <w:rsid w:val="002878A7"/>
    <w:rsid w:val="002945C1"/>
    <w:rsid w:val="00294DFB"/>
    <w:rsid w:val="002B1A65"/>
    <w:rsid w:val="002B72EB"/>
    <w:rsid w:val="002C32E2"/>
    <w:rsid w:val="002C3AF3"/>
    <w:rsid w:val="002C5387"/>
    <w:rsid w:val="002D6A43"/>
    <w:rsid w:val="002F1340"/>
    <w:rsid w:val="002F33C4"/>
    <w:rsid w:val="002F39E5"/>
    <w:rsid w:val="002F519C"/>
    <w:rsid w:val="002F6DC2"/>
    <w:rsid w:val="0030115C"/>
    <w:rsid w:val="003051B5"/>
    <w:rsid w:val="00313A26"/>
    <w:rsid w:val="00335DCA"/>
    <w:rsid w:val="00342251"/>
    <w:rsid w:val="00343F60"/>
    <w:rsid w:val="00351FD9"/>
    <w:rsid w:val="00352F3F"/>
    <w:rsid w:val="0038220D"/>
    <w:rsid w:val="003A0535"/>
    <w:rsid w:val="003A128A"/>
    <w:rsid w:val="003A3C4B"/>
    <w:rsid w:val="003A4934"/>
    <w:rsid w:val="003A6877"/>
    <w:rsid w:val="003B5E5C"/>
    <w:rsid w:val="003D1D39"/>
    <w:rsid w:val="003D2DF6"/>
    <w:rsid w:val="003D4987"/>
    <w:rsid w:val="003D500E"/>
    <w:rsid w:val="003E2F9D"/>
    <w:rsid w:val="003E399E"/>
    <w:rsid w:val="003F1CE7"/>
    <w:rsid w:val="003F26EB"/>
    <w:rsid w:val="00412966"/>
    <w:rsid w:val="00414F48"/>
    <w:rsid w:val="004166FA"/>
    <w:rsid w:val="00421FBB"/>
    <w:rsid w:val="00427721"/>
    <w:rsid w:val="00432414"/>
    <w:rsid w:val="004417CE"/>
    <w:rsid w:val="00443D64"/>
    <w:rsid w:val="004617FD"/>
    <w:rsid w:val="00494A0A"/>
    <w:rsid w:val="004A05C9"/>
    <w:rsid w:val="004A27BC"/>
    <w:rsid w:val="004B49C3"/>
    <w:rsid w:val="004B6940"/>
    <w:rsid w:val="004B6A72"/>
    <w:rsid w:val="004C3D35"/>
    <w:rsid w:val="004E11B1"/>
    <w:rsid w:val="004F4D81"/>
    <w:rsid w:val="004F792E"/>
    <w:rsid w:val="0050101D"/>
    <w:rsid w:val="00501890"/>
    <w:rsid w:val="0050197F"/>
    <w:rsid w:val="00503AC0"/>
    <w:rsid w:val="00506E45"/>
    <w:rsid w:val="00507042"/>
    <w:rsid w:val="0052284A"/>
    <w:rsid w:val="005270D0"/>
    <w:rsid w:val="0052751C"/>
    <w:rsid w:val="005477E7"/>
    <w:rsid w:val="00563DEF"/>
    <w:rsid w:val="00573381"/>
    <w:rsid w:val="00593D94"/>
    <w:rsid w:val="005950D7"/>
    <w:rsid w:val="005A5697"/>
    <w:rsid w:val="005A737A"/>
    <w:rsid w:val="005B1790"/>
    <w:rsid w:val="005B1CE9"/>
    <w:rsid w:val="005D6CD5"/>
    <w:rsid w:val="005E0D94"/>
    <w:rsid w:val="005F6666"/>
    <w:rsid w:val="006004F3"/>
    <w:rsid w:val="0061183A"/>
    <w:rsid w:val="00611B4A"/>
    <w:rsid w:val="0061300F"/>
    <w:rsid w:val="0061302E"/>
    <w:rsid w:val="00616B8A"/>
    <w:rsid w:val="00621D2E"/>
    <w:rsid w:val="00623320"/>
    <w:rsid w:val="006233E1"/>
    <w:rsid w:val="00631267"/>
    <w:rsid w:val="0063341B"/>
    <w:rsid w:val="006414A6"/>
    <w:rsid w:val="00642701"/>
    <w:rsid w:val="0066625D"/>
    <w:rsid w:val="006754DD"/>
    <w:rsid w:val="00692CB8"/>
    <w:rsid w:val="006A0FF8"/>
    <w:rsid w:val="006A6370"/>
    <w:rsid w:val="006B13DA"/>
    <w:rsid w:val="006B2315"/>
    <w:rsid w:val="006B45CE"/>
    <w:rsid w:val="006B6910"/>
    <w:rsid w:val="006C139C"/>
    <w:rsid w:val="006C6811"/>
    <w:rsid w:val="006D1676"/>
    <w:rsid w:val="006D6459"/>
    <w:rsid w:val="006F4D52"/>
    <w:rsid w:val="007041A1"/>
    <w:rsid w:val="00713C80"/>
    <w:rsid w:val="0073774F"/>
    <w:rsid w:val="00742EFE"/>
    <w:rsid w:val="00754BFE"/>
    <w:rsid w:val="00755E72"/>
    <w:rsid w:val="0076073C"/>
    <w:rsid w:val="00763103"/>
    <w:rsid w:val="00776B0C"/>
    <w:rsid w:val="007946B0"/>
    <w:rsid w:val="007A42EC"/>
    <w:rsid w:val="007A54FF"/>
    <w:rsid w:val="007B47E1"/>
    <w:rsid w:val="007C343C"/>
    <w:rsid w:val="007C655F"/>
    <w:rsid w:val="007D79CC"/>
    <w:rsid w:val="007E2A2B"/>
    <w:rsid w:val="00811407"/>
    <w:rsid w:val="00816C8F"/>
    <w:rsid w:val="00824190"/>
    <w:rsid w:val="00826B51"/>
    <w:rsid w:val="0083455D"/>
    <w:rsid w:val="008625FB"/>
    <w:rsid w:val="00863A55"/>
    <w:rsid w:val="00865D6B"/>
    <w:rsid w:val="00866013"/>
    <w:rsid w:val="00866D6B"/>
    <w:rsid w:val="00871478"/>
    <w:rsid w:val="00885E01"/>
    <w:rsid w:val="00891EE8"/>
    <w:rsid w:val="008966CA"/>
    <w:rsid w:val="008A2DB4"/>
    <w:rsid w:val="008A76CD"/>
    <w:rsid w:val="008B360D"/>
    <w:rsid w:val="008B4652"/>
    <w:rsid w:val="008C75E8"/>
    <w:rsid w:val="008D10ED"/>
    <w:rsid w:val="008D518C"/>
    <w:rsid w:val="008D5840"/>
    <w:rsid w:val="008D7908"/>
    <w:rsid w:val="008D7D16"/>
    <w:rsid w:val="008E2FF0"/>
    <w:rsid w:val="008E5EEF"/>
    <w:rsid w:val="008F6A0B"/>
    <w:rsid w:val="00912197"/>
    <w:rsid w:val="00913A1A"/>
    <w:rsid w:val="009238FB"/>
    <w:rsid w:val="009477DC"/>
    <w:rsid w:val="00955454"/>
    <w:rsid w:val="00955DC4"/>
    <w:rsid w:val="00960BDB"/>
    <w:rsid w:val="00962784"/>
    <w:rsid w:val="00962912"/>
    <w:rsid w:val="0096329B"/>
    <w:rsid w:val="00967717"/>
    <w:rsid w:val="0097194D"/>
    <w:rsid w:val="0097276A"/>
    <w:rsid w:val="009752E9"/>
    <w:rsid w:val="00977420"/>
    <w:rsid w:val="0098770A"/>
    <w:rsid w:val="0099027E"/>
    <w:rsid w:val="00991057"/>
    <w:rsid w:val="00992A41"/>
    <w:rsid w:val="00995975"/>
    <w:rsid w:val="00996287"/>
    <w:rsid w:val="009A11FB"/>
    <w:rsid w:val="009A132A"/>
    <w:rsid w:val="009A242D"/>
    <w:rsid w:val="009A3EBC"/>
    <w:rsid w:val="009B03D5"/>
    <w:rsid w:val="009C3379"/>
    <w:rsid w:val="009E7C5F"/>
    <w:rsid w:val="00A06636"/>
    <w:rsid w:val="00A20224"/>
    <w:rsid w:val="00A24B0D"/>
    <w:rsid w:val="00A317FA"/>
    <w:rsid w:val="00A369A9"/>
    <w:rsid w:val="00A41180"/>
    <w:rsid w:val="00A4773A"/>
    <w:rsid w:val="00A50776"/>
    <w:rsid w:val="00A56BD4"/>
    <w:rsid w:val="00A65DB5"/>
    <w:rsid w:val="00A67A54"/>
    <w:rsid w:val="00A862AD"/>
    <w:rsid w:val="00A87F63"/>
    <w:rsid w:val="00A9108C"/>
    <w:rsid w:val="00A96CC2"/>
    <w:rsid w:val="00A9708B"/>
    <w:rsid w:val="00AA1DF6"/>
    <w:rsid w:val="00AA36C5"/>
    <w:rsid w:val="00AA74B9"/>
    <w:rsid w:val="00AB6566"/>
    <w:rsid w:val="00AC6182"/>
    <w:rsid w:val="00AD7080"/>
    <w:rsid w:val="00AF3E3A"/>
    <w:rsid w:val="00AF4CB2"/>
    <w:rsid w:val="00B02F46"/>
    <w:rsid w:val="00B10348"/>
    <w:rsid w:val="00B10A2A"/>
    <w:rsid w:val="00B12308"/>
    <w:rsid w:val="00B13505"/>
    <w:rsid w:val="00B152B7"/>
    <w:rsid w:val="00B253D1"/>
    <w:rsid w:val="00B27A22"/>
    <w:rsid w:val="00B3338B"/>
    <w:rsid w:val="00B35C9C"/>
    <w:rsid w:val="00B36F95"/>
    <w:rsid w:val="00B40504"/>
    <w:rsid w:val="00B575AF"/>
    <w:rsid w:val="00B65460"/>
    <w:rsid w:val="00B66D7C"/>
    <w:rsid w:val="00B90010"/>
    <w:rsid w:val="00B9415D"/>
    <w:rsid w:val="00B96BB6"/>
    <w:rsid w:val="00BA2DD0"/>
    <w:rsid w:val="00BA5EF6"/>
    <w:rsid w:val="00BC4BBB"/>
    <w:rsid w:val="00BC7AD6"/>
    <w:rsid w:val="00BE0431"/>
    <w:rsid w:val="00BE1E56"/>
    <w:rsid w:val="00BE351C"/>
    <w:rsid w:val="00BE7AC6"/>
    <w:rsid w:val="00BF1AB7"/>
    <w:rsid w:val="00BF2ECD"/>
    <w:rsid w:val="00BF54FF"/>
    <w:rsid w:val="00BF5FA2"/>
    <w:rsid w:val="00C00637"/>
    <w:rsid w:val="00C061F6"/>
    <w:rsid w:val="00C11DBC"/>
    <w:rsid w:val="00C22F4F"/>
    <w:rsid w:val="00C2610B"/>
    <w:rsid w:val="00C31414"/>
    <w:rsid w:val="00C321FA"/>
    <w:rsid w:val="00C335E9"/>
    <w:rsid w:val="00C37A23"/>
    <w:rsid w:val="00C37A59"/>
    <w:rsid w:val="00C37B85"/>
    <w:rsid w:val="00C5077D"/>
    <w:rsid w:val="00C515E8"/>
    <w:rsid w:val="00C55AA9"/>
    <w:rsid w:val="00C578DC"/>
    <w:rsid w:val="00C57B6A"/>
    <w:rsid w:val="00C64668"/>
    <w:rsid w:val="00C64E83"/>
    <w:rsid w:val="00C65F0E"/>
    <w:rsid w:val="00C6631C"/>
    <w:rsid w:val="00C73532"/>
    <w:rsid w:val="00C800AF"/>
    <w:rsid w:val="00C806BF"/>
    <w:rsid w:val="00C9137F"/>
    <w:rsid w:val="00CA5962"/>
    <w:rsid w:val="00CA5E22"/>
    <w:rsid w:val="00CB29CA"/>
    <w:rsid w:val="00CC2A94"/>
    <w:rsid w:val="00CC46F0"/>
    <w:rsid w:val="00CC6A06"/>
    <w:rsid w:val="00CD0630"/>
    <w:rsid w:val="00CE153B"/>
    <w:rsid w:val="00D0021B"/>
    <w:rsid w:val="00D060E9"/>
    <w:rsid w:val="00D061EC"/>
    <w:rsid w:val="00D12713"/>
    <w:rsid w:val="00D14999"/>
    <w:rsid w:val="00D14EE2"/>
    <w:rsid w:val="00D17792"/>
    <w:rsid w:val="00D20476"/>
    <w:rsid w:val="00D348AE"/>
    <w:rsid w:val="00D36CEC"/>
    <w:rsid w:val="00D37022"/>
    <w:rsid w:val="00D40D5F"/>
    <w:rsid w:val="00D51495"/>
    <w:rsid w:val="00D6642E"/>
    <w:rsid w:val="00D84160"/>
    <w:rsid w:val="00D87AFC"/>
    <w:rsid w:val="00D923DF"/>
    <w:rsid w:val="00D9581F"/>
    <w:rsid w:val="00DA36BE"/>
    <w:rsid w:val="00DA4A9A"/>
    <w:rsid w:val="00DA6BAB"/>
    <w:rsid w:val="00DB4349"/>
    <w:rsid w:val="00DC10CA"/>
    <w:rsid w:val="00DD0A9C"/>
    <w:rsid w:val="00DD1465"/>
    <w:rsid w:val="00DD38DC"/>
    <w:rsid w:val="00DD3A5B"/>
    <w:rsid w:val="00DD5D73"/>
    <w:rsid w:val="00DE0D68"/>
    <w:rsid w:val="00DE24A1"/>
    <w:rsid w:val="00DE2FB4"/>
    <w:rsid w:val="00DF378C"/>
    <w:rsid w:val="00E07496"/>
    <w:rsid w:val="00E1723F"/>
    <w:rsid w:val="00E22CBD"/>
    <w:rsid w:val="00E2700A"/>
    <w:rsid w:val="00E313D8"/>
    <w:rsid w:val="00E31B66"/>
    <w:rsid w:val="00E3511E"/>
    <w:rsid w:val="00E35CC1"/>
    <w:rsid w:val="00E360F6"/>
    <w:rsid w:val="00E50EF5"/>
    <w:rsid w:val="00E54250"/>
    <w:rsid w:val="00E5591C"/>
    <w:rsid w:val="00E62DAF"/>
    <w:rsid w:val="00E64CFF"/>
    <w:rsid w:val="00E665D5"/>
    <w:rsid w:val="00E76BAA"/>
    <w:rsid w:val="00E77167"/>
    <w:rsid w:val="00E92E43"/>
    <w:rsid w:val="00E96891"/>
    <w:rsid w:val="00E97E71"/>
    <w:rsid w:val="00EA24FB"/>
    <w:rsid w:val="00EA34E8"/>
    <w:rsid w:val="00EA4C70"/>
    <w:rsid w:val="00EB56B0"/>
    <w:rsid w:val="00EC5C5A"/>
    <w:rsid w:val="00ED0055"/>
    <w:rsid w:val="00ED134A"/>
    <w:rsid w:val="00EF4B51"/>
    <w:rsid w:val="00F019DE"/>
    <w:rsid w:val="00F06F9D"/>
    <w:rsid w:val="00F2365C"/>
    <w:rsid w:val="00F404A5"/>
    <w:rsid w:val="00F50579"/>
    <w:rsid w:val="00F60665"/>
    <w:rsid w:val="00F65267"/>
    <w:rsid w:val="00F65A6F"/>
    <w:rsid w:val="00F67F22"/>
    <w:rsid w:val="00F71FF4"/>
    <w:rsid w:val="00F72C27"/>
    <w:rsid w:val="00F77490"/>
    <w:rsid w:val="00F8234B"/>
    <w:rsid w:val="00F84CFA"/>
    <w:rsid w:val="00F967B2"/>
    <w:rsid w:val="00FA1CAB"/>
    <w:rsid w:val="00FD1980"/>
    <w:rsid w:val="00FD3169"/>
    <w:rsid w:val="00FE0712"/>
    <w:rsid w:val="00FE582B"/>
    <w:rsid w:val="01147582"/>
    <w:rsid w:val="014B35DA"/>
    <w:rsid w:val="02523D8C"/>
    <w:rsid w:val="02F544C3"/>
    <w:rsid w:val="04775144"/>
    <w:rsid w:val="078B6E4E"/>
    <w:rsid w:val="07BE292C"/>
    <w:rsid w:val="09EA33AB"/>
    <w:rsid w:val="0B400727"/>
    <w:rsid w:val="0C5B5568"/>
    <w:rsid w:val="0D3046F7"/>
    <w:rsid w:val="0D4C7ED9"/>
    <w:rsid w:val="0EF313FB"/>
    <w:rsid w:val="101653C7"/>
    <w:rsid w:val="104F3F68"/>
    <w:rsid w:val="12A57F75"/>
    <w:rsid w:val="14343211"/>
    <w:rsid w:val="14BC4FBF"/>
    <w:rsid w:val="1631337C"/>
    <w:rsid w:val="16AD4568"/>
    <w:rsid w:val="16F17158"/>
    <w:rsid w:val="17604AD5"/>
    <w:rsid w:val="18897C12"/>
    <w:rsid w:val="189F5473"/>
    <w:rsid w:val="18FD49A5"/>
    <w:rsid w:val="1936112E"/>
    <w:rsid w:val="19CC6FE1"/>
    <w:rsid w:val="1A3C5371"/>
    <w:rsid w:val="1A725FA2"/>
    <w:rsid w:val="1BFC62CE"/>
    <w:rsid w:val="1CDB74BE"/>
    <w:rsid w:val="1D293D92"/>
    <w:rsid w:val="1E773DD3"/>
    <w:rsid w:val="1ED014A0"/>
    <w:rsid w:val="1F613647"/>
    <w:rsid w:val="1F8B3EF6"/>
    <w:rsid w:val="1FBE1528"/>
    <w:rsid w:val="1FC41B50"/>
    <w:rsid w:val="20EE0504"/>
    <w:rsid w:val="227372B9"/>
    <w:rsid w:val="24EF26FC"/>
    <w:rsid w:val="256718FC"/>
    <w:rsid w:val="258840B0"/>
    <w:rsid w:val="25AD01C7"/>
    <w:rsid w:val="274719E5"/>
    <w:rsid w:val="290A4913"/>
    <w:rsid w:val="29BE1DA9"/>
    <w:rsid w:val="2A237AD1"/>
    <w:rsid w:val="2ACE004D"/>
    <w:rsid w:val="2B9864EF"/>
    <w:rsid w:val="2BE10C72"/>
    <w:rsid w:val="2BE21649"/>
    <w:rsid w:val="2C523826"/>
    <w:rsid w:val="2CFA2FB6"/>
    <w:rsid w:val="2D316324"/>
    <w:rsid w:val="2D822ED9"/>
    <w:rsid w:val="2DB80F46"/>
    <w:rsid w:val="2F362365"/>
    <w:rsid w:val="2F5903BA"/>
    <w:rsid w:val="30B67293"/>
    <w:rsid w:val="30C86DA9"/>
    <w:rsid w:val="320F75A3"/>
    <w:rsid w:val="327242C6"/>
    <w:rsid w:val="32E47E75"/>
    <w:rsid w:val="337B737A"/>
    <w:rsid w:val="338937BC"/>
    <w:rsid w:val="34424E5E"/>
    <w:rsid w:val="35BE4EC9"/>
    <w:rsid w:val="3657305F"/>
    <w:rsid w:val="36883E98"/>
    <w:rsid w:val="36891AAE"/>
    <w:rsid w:val="369C0311"/>
    <w:rsid w:val="385541CF"/>
    <w:rsid w:val="3A9E7716"/>
    <w:rsid w:val="3C0B53D0"/>
    <w:rsid w:val="3CB02C72"/>
    <w:rsid w:val="3CC33BD0"/>
    <w:rsid w:val="3D1B6CCF"/>
    <w:rsid w:val="3E1978B4"/>
    <w:rsid w:val="3F8843FE"/>
    <w:rsid w:val="410D126B"/>
    <w:rsid w:val="4157061F"/>
    <w:rsid w:val="41603E2B"/>
    <w:rsid w:val="41840FC3"/>
    <w:rsid w:val="419444BB"/>
    <w:rsid w:val="41B33BAF"/>
    <w:rsid w:val="41F9319D"/>
    <w:rsid w:val="424B51C7"/>
    <w:rsid w:val="424E275C"/>
    <w:rsid w:val="42BF193F"/>
    <w:rsid w:val="430D7B94"/>
    <w:rsid w:val="43A814C3"/>
    <w:rsid w:val="457371B6"/>
    <w:rsid w:val="45A52479"/>
    <w:rsid w:val="46044D52"/>
    <w:rsid w:val="464707A6"/>
    <w:rsid w:val="472A2E92"/>
    <w:rsid w:val="48E877A4"/>
    <w:rsid w:val="493168D5"/>
    <w:rsid w:val="49A34EFB"/>
    <w:rsid w:val="4A987680"/>
    <w:rsid w:val="4B294843"/>
    <w:rsid w:val="4BCD46D1"/>
    <w:rsid w:val="4CBD2C90"/>
    <w:rsid w:val="4CE0771A"/>
    <w:rsid w:val="4CEF1E63"/>
    <w:rsid w:val="4D0264AB"/>
    <w:rsid w:val="4D7972C4"/>
    <w:rsid w:val="4E6D29C4"/>
    <w:rsid w:val="4F7F7E80"/>
    <w:rsid w:val="4F9F1AD3"/>
    <w:rsid w:val="4FB05418"/>
    <w:rsid w:val="50013258"/>
    <w:rsid w:val="50330B55"/>
    <w:rsid w:val="50611571"/>
    <w:rsid w:val="5214298C"/>
    <w:rsid w:val="52616986"/>
    <w:rsid w:val="529F395C"/>
    <w:rsid w:val="53761447"/>
    <w:rsid w:val="53D730A8"/>
    <w:rsid w:val="53D855EF"/>
    <w:rsid w:val="543A4DDB"/>
    <w:rsid w:val="54C62818"/>
    <w:rsid w:val="555E5F59"/>
    <w:rsid w:val="55737E5B"/>
    <w:rsid w:val="56EC52F3"/>
    <w:rsid w:val="58201006"/>
    <w:rsid w:val="58434BA6"/>
    <w:rsid w:val="586342B0"/>
    <w:rsid w:val="5A560DC3"/>
    <w:rsid w:val="5A6F7FE5"/>
    <w:rsid w:val="5BC94BEF"/>
    <w:rsid w:val="5CDC17D1"/>
    <w:rsid w:val="5CF61922"/>
    <w:rsid w:val="5D2E1E40"/>
    <w:rsid w:val="5D4E06D0"/>
    <w:rsid w:val="5DE26392"/>
    <w:rsid w:val="5DE37F4A"/>
    <w:rsid w:val="5F0B5582"/>
    <w:rsid w:val="5F9F60A6"/>
    <w:rsid w:val="5FE3F82D"/>
    <w:rsid w:val="61456EA0"/>
    <w:rsid w:val="61FA48B8"/>
    <w:rsid w:val="62206ADF"/>
    <w:rsid w:val="626C7A56"/>
    <w:rsid w:val="628C08F7"/>
    <w:rsid w:val="628D1D46"/>
    <w:rsid w:val="63E37DC4"/>
    <w:rsid w:val="6491409A"/>
    <w:rsid w:val="64990483"/>
    <w:rsid w:val="659875CC"/>
    <w:rsid w:val="65AC2FF2"/>
    <w:rsid w:val="66314D74"/>
    <w:rsid w:val="663235CF"/>
    <w:rsid w:val="66427DBB"/>
    <w:rsid w:val="67391E53"/>
    <w:rsid w:val="678267C9"/>
    <w:rsid w:val="67EB5499"/>
    <w:rsid w:val="6AFA571E"/>
    <w:rsid w:val="6C357742"/>
    <w:rsid w:val="6C371528"/>
    <w:rsid w:val="6D0964BE"/>
    <w:rsid w:val="6EBA1338"/>
    <w:rsid w:val="6F806E0F"/>
    <w:rsid w:val="6FE0137E"/>
    <w:rsid w:val="71CC6C47"/>
    <w:rsid w:val="71DF2930"/>
    <w:rsid w:val="720E5988"/>
    <w:rsid w:val="727678C2"/>
    <w:rsid w:val="72D35F49"/>
    <w:rsid w:val="73EA30C7"/>
    <w:rsid w:val="74250FE2"/>
    <w:rsid w:val="74727264"/>
    <w:rsid w:val="749E5641"/>
    <w:rsid w:val="74D75C96"/>
    <w:rsid w:val="74E53270"/>
    <w:rsid w:val="750E7271"/>
    <w:rsid w:val="759011CE"/>
    <w:rsid w:val="75B408E2"/>
    <w:rsid w:val="75CA7F3C"/>
    <w:rsid w:val="77057A22"/>
    <w:rsid w:val="790E511E"/>
    <w:rsid w:val="797B7403"/>
    <w:rsid w:val="7A546ECE"/>
    <w:rsid w:val="7A751048"/>
    <w:rsid w:val="7BF859D9"/>
    <w:rsid w:val="7C4F2F68"/>
    <w:rsid w:val="7E462228"/>
    <w:rsid w:val="7ED0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unhideWhenUsed/>
    <w:qFormat/>
    <w:uiPriority w:val="0"/>
    <w:pPr>
      <w:jc w:val="left"/>
    </w:pPr>
  </w:style>
  <w:style w:type="paragraph" w:styleId="3">
    <w:name w:val="Balloon Text"/>
    <w:basedOn w:val="1"/>
    <w:link w:val="14"/>
    <w:autoRedefine/>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autoRedefine/>
    <w:semiHidden/>
    <w:unhideWhenUsed/>
    <w:qFormat/>
    <w:uiPriority w:val="99"/>
    <w:rPr>
      <w:b/>
      <w:bCs/>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0"/>
    <w:rPr>
      <w:sz w:val="21"/>
      <w:szCs w:val="21"/>
    </w:rPr>
  </w:style>
  <w:style w:type="character" w:customStyle="1" w:styleId="11">
    <w:name w:val="页脚 字符"/>
    <w:basedOn w:val="9"/>
    <w:link w:val="4"/>
    <w:autoRedefine/>
    <w:qFormat/>
    <w:uiPriority w:val="99"/>
    <w:rPr>
      <w:rFonts w:ascii="Calibri" w:hAnsi="Calibri" w:eastAsia="宋体" w:cs="Times New Roman"/>
      <w:sz w:val="18"/>
      <w:szCs w:val="18"/>
    </w:rPr>
  </w:style>
  <w:style w:type="paragraph" w:customStyle="1" w:styleId="12">
    <w:name w:val="列出段落1"/>
    <w:basedOn w:val="1"/>
    <w:autoRedefine/>
    <w:qFormat/>
    <w:uiPriority w:val="34"/>
    <w:pPr>
      <w:ind w:firstLine="420" w:firstLineChars="200"/>
    </w:pPr>
  </w:style>
  <w:style w:type="character" w:customStyle="1" w:styleId="13">
    <w:name w:val="页眉 字符"/>
    <w:basedOn w:val="9"/>
    <w:link w:val="5"/>
    <w:autoRedefine/>
    <w:semiHidden/>
    <w:qFormat/>
    <w:uiPriority w:val="99"/>
    <w:rPr>
      <w:rFonts w:ascii="Calibri" w:hAnsi="Calibri" w:eastAsia="宋体" w:cs="Times New Roman"/>
      <w:sz w:val="18"/>
      <w:szCs w:val="18"/>
    </w:rPr>
  </w:style>
  <w:style w:type="character" w:customStyle="1" w:styleId="14">
    <w:name w:val="批注框文本 字符"/>
    <w:basedOn w:val="9"/>
    <w:link w:val="3"/>
    <w:autoRedefine/>
    <w:semiHidden/>
    <w:qFormat/>
    <w:uiPriority w:val="99"/>
    <w:rPr>
      <w:rFonts w:ascii="Calibri" w:hAnsi="Calibri" w:eastAsia="宋体" w:cs="Times New Roman"/>
      <w:sz w:val="18"/>
      <w:szCs w:val="18"/>
    </w:rPr>
  </w:style>
  <w:style w:type="paragraph" w:customStyle="1" w:styleId="15">
    <w:name w:val="修订1"/>
    <w:autoRedefine/>
    <w:hidden/>
    <w:semiHidden/>
    <w:qFormat/>
    <w:uiPriority w:val="99"/>
    <w:rPr>
      <w:rFonts w:ascii="Calibri" w:hAnsi="Calibri" w:eastAsia="宋体" w:cs="Times New Roman"/>
      <w:kern w:val="2"/>
      <w:sz w:val="21"/>
      <w:szCs w:val="22"/>
      <w:lang w:val="en-US" w:eastAsia="zh-CN" w:bidi="ar-SA"/>
    </w:rPr>
  </w:style>
  <w:style w:type="paragraph" w:styleId="16">
    <w:name w:val="List Paragraph"/>
    <w:basedOn w:val="1"/>
    <w:autoRedefine/>
    <w:qFormat/>
    <w:uiPriority w:val="99"/>
    <w:pPr>
      <w:ind w:firstLine="420" w:firstLineChars="200"/>
    </w:pPr>
  </w:style>
  <w:style w:type="character" w:customStyle="1" w:styleId="17">
    <w:name w:val="批注文字 字符"/>
    <w:basedOn w:val="9"/>
    <w:link w:val="2"/>
    <w:autoRedefine/>
    <w:qFormat/>
    <w:uiPriority w:val="0"/>
    <w:rPr>
      <w:rFonts w:ascii="Calibri" w:hAnsi="Calibri" w:eastAsia="宋体" w:cs="Times New Roman"/>
      <w:kern w:val="2"/>
      <w:sz w:val="21"/>
      <w:szCs w:val="22"/>
    </w:rPr>
  </w:style>
  <w:style w:type="character" w:customStyle="1" w:styleId="18">
    <w:name w:val="批注主题 字符"/>
    <w:basedOn w:val="17"/>
    <w:link w:val="6"/>
    <w:autoRedefine/>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中国微软</Company>
  <Pages>4</Pages>
  <Words>1666</Words>
  <Characters>1895</Characters>
  <Lines>14</Lines>
  <Paragraphs>4</Paragraphs>
  <TotalTime>172</TotalTime>
  <ScaleCrop>false</ScaleCrop>
  <LinksUpToDate>false</LinksUpToDate>
  <CharactersWithSpaces>1952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2024-03-19T06:06:00Z</dcterms:created>
  <dc:creator>tek</dc:creator>
  <cp:lastModifiedBy>WPS_1597277898</cp:lastModifiedBy>
  <dcterms:modified xsi:type="dcterms:W3CDTF">2024-10-15T06:47:50Z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3B5917274B1F4F09B553A8D21F6EE478</vt:lpwstr>
  </property>
</Properties>
</file>